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A2178" w:rsidRDefault="00000000">
      <w:pPr>
        <w:pStyle w:val="1"/>
        <w:jc w:val="center"/>
        <w:rPr>
          <w:rFonts w:ascii="Times New Roman" w:eastAsia="黑体" w:hAnsi="Times New Roman"/>
          <w:sz w:val="52"/>
          <w:szCs w:val="52"/>
        </w:rPr>
      </w:pPr>
      <w:r>
        <w:rPr>
          <w:rFonts w:ascii="Times New Roman" w:eastAsia="黑体" w:hAnsi="Times New Roman" w:hint="eastAsia"/>
          <w:sz w:val="52"/>
          <w:szCs w:val="52"/>
        </w:rPr>
        <w:t>中国仪器仪表行业协会团体标准</w:t>
      </w:r>
    </w:p>
    <w:p w:rsidR="00DA2178" w:rsidRDefault="00DA2178">
      <w:pPr>
        <w:rPr>
          <w:rFonts w:ascii="Times New Roman" w:eastAsia="黑体" w:hAnsi="Times New Roman"/>
          <w:sz w:val="24"/>
          <w:szCs w:val="24"/>
        </w:rPr>
      </w:pPr>
    </w:p>
    <w:p w:rsidR="00DA2178" w:rsidRDefault="00000000">
      <w:pPr>
        <w:pStyle w:val="1"/>
        <w:jc w:val="center"/>
        <w:rPr>
          <w:rFonts w:ascii="黑体" w:eastAsia="黑体" w:hAnsi="黑体" w:cs="黑体"/>
          <w:b w:val="0"/>
          <w:bCs w:val="0"/>
        </w:rPr>
      </w:pPr>
      <w:r>
        <w:rPr>
          <w:rFonts w:ascii="黑体" w:eastAsia="黑体" w:hAnsi="黑体" w:cs="黑体" w:hint="eastAsia"/>
          <w:b w:val="0"/>
          <w:bCs w:val="0"/>
        </w:rPr>
        <w:t>《基于电力流的碳排放计量 第1部分：计量模型》</w:t>
      </w:r>
    </w:p>
    <w:p w:rsidR="00DA2178" w:rsidRDefault="00DA2178">
      <w:pPr>
        <w:rPr>
          <w:rFonts w:ascii="Times New Roman" w:hAnsi="Times New Roman"/>
          <w:sz w:val="24"/>
          <w:szCs w:val="24"/>
        </w:rPr>
      </w:pPr>
    </w:p>
    <w:p w:rsidR="00DA2178" w:rsidRDefault="00DA2178">
      <w:pPr>
        <w:rPr>
          <w:rFonts w:ascii="Times New Roman" w:hAnsi="Times New Roman"/>
          <w:sz w:val="24"/>
          <w:szCs w:val="24"/>
        </w:rPr>
      </w:pPr>
    </w:p>
    <w:p w:rsidR="00DA2178" w:rsidRDefault="00DA2178">
      <w:pPr>
        <w:rPr>
          <w:rFonts w:ascii="Times New Roman" w:hAnsi="Times New Roman"/>
          <w:sz w:val="24"/>
          <w:szCs w:val="24"/>
        </w:rPr>
      </w:pPr>
    </w:p>
    <w:p w:rsidR="00DA2178" w:rsidRDefault="00000000">
      <w:pPr>
        <w:pStyle w:val="1"/>
        <w:jc w:val="center"/>
        <w:rPr>
          <w:rFonts w:ascii="黑体" w:eastAsia="黑体" w:hAnsi="黑体" w:cs="黑体"/>
          <w:b w:val="0"/>
          <w:bCs w:val="0"/>
        </w:rPr>
      </w:pPr>
      <w:r>
        <w:rPr>
          <w:rFonts w:ascii="黑体" w:eastAsia="黑体" w:hAnsi="黑体" w:cs="黑体" w:hint="eastAsia"/>
          <w:b w:val="0"/>
          <w:bCs w:val="0"/>
        </w:rPr>
        <w:t>编制说明</w:t>
      </w:r>
    </w:p>
    <w:p w:rsidR="00DA2178" w:rsidRDefault="00000000">
      <w:pPr>
        <w:pStyle w:val="1"/>
        <w:jc w:val="center"/>
        <w:rPr>
          <w:rFonts w:ascii="黑体" w:eastAsia="黑体" w:hAnsi="黑体" w:cs="黑体"/>
          <w:b w:val="0"/>
          <w:bCs w:val="0"/>
          <w:sz w:val="32"/>
          <w:szCs w:val="32"/>
        </w:rPr>
      </w:pPr>
      <w:r>
        <w:rPr>
          <w:rFonts w:ascii="黑体" w:eastAsia="黑体" w:hAnsi="黑体" w:cs="黑体" w:hint="eastAsia"/>
          <w:b w:val="0"/>
          <w:bCs w:val="0"/>
          <w:sz w:val="32"/>
          <w:szCs w:val="32"/>
        </w:rPr>
        <w:t>（征求意见稿）</w:t>
      </w:r>
    </w:p>
    <w:p w:rsidR="00DA2178" w:rsidRDefault="00000000">
      <w:pPr>
        <w:rPr>
          <w:rFonts w:ascii="Times New Roman" w:hAnsi="Times New Roman"/>
          <w:sz w:val="24"/>
          <w:szCs w:val="24"/>
        </w:rPr>
      </w:pPr>
      <w:r>
        <w:rPr>
          <w:rFonts w:ascii="Times New Roman" w:hAnsi="Times New Roman" w:hint="eastAsia"/>
          <w:sz w:val="24"/>
          <w:szCs w:val="24"/>
        </w:rPr>
        <w:t xml:space="preserve">                          </w:t>
      </w:r>
    </w:p>
    <w:p w:rsidR="00DA2178" w:rsidRDefault="00DA2178">
      <w:pPr>
        <w:rPr>
          <w:rFonts w:ascii="Times New Roman" w:hAnsi="Times New Roman"/>
          <w:sz w:val="24"/>
          <w:szCs w:val="24"/>
        </w:rPr>
      </w:pPr>
    </w:p>
    <w:p w:rsidR="00DA2178" w:rsidRDefault="00DA2178">
      <w:pPr>
        <w:rPr>
          <w:rFonts w:ascii="Times New Roman" w:hAnsi="Times New Roman"/>
          <w:sz w:val="24"/>
          <w:szCs w:val="24"/>
        </w:rPr>
      </w:pPr>
    </w:p>
    <w:p w:rsidR="00DA2178" w:rsidRDefault="00DA2178">
      <w:pPr>
        <w:rPr>
          <w:rFonts w:ascii="Times New Roman" w:hAnsi="Times New Roman"/>
          <w:sz w:val="24"/>
          <w:szCs w:val="24"/>
        </w:rPr>
      </w:pPr>
    </w:p>
    <w:p w:rsidR="00DA2178" w:rsidRDefault="00DA2178">
      <w:pPr>
        <w:rPr>
          <w:rFonts w:ascii="Times New Roman" w:hAnsi="Times New Roman"/>
          <w:sz w:val="24"/>
          <w:szCs w:val="24"/>
        </w:rPr>
      </w:pPr>
    </w:p>
    <w:p w:rsidR="00DA2178" w:rsidRDefault="00000000">
      <w:pPr>
        <w:jc w:val="center"/>
        <w:rPr>
          <w:rFonts w:ascii="Times New Roman" w:hAnsi="Times New Roman"/>
          <w:sz w:val="24"/>
          <w:szCs w:val="24"/>
        </w:rPr>
      </w:pPr>
      <w:r>
        <w:rPr>
          <w:rFonts w:ascii="Times New Roman" w:hAnsi="Times New Roman" w:hint="eastAsia"/>
          <w:sz w:val="24"/>
          <w:szCs w:val="24"/>
        </w:rPr>
        <w:t>202</w:t>
      </w:r>
      <w:r>
        <w:rPr>
          <w:rFonts w:ascii="Times New Roman" w:hAnsi="Times New Roman"/>
          <w:sz w:val="24"/>
          <w:szCs w:val="24"/>
        </w:rPr>
        <w:t>30</w:t>
      </w:r>
      <w:r>
        <w:rPr>
          <w:rFonts w:ascii="Times New Roman" w:hAnsi="Times New Roman" w:hint="eastAsia"/>
          <w:sz w:val="24"/>
          <w:szCs w:val="24"/>
        </w:rPr>
        <w:t>203</w:t>
      </w:r>
    </w:p>
    <w:p w:rsidR="00DA2178" w:rsidRDefault="00DA2178">
      <w:pPr>
        <w:pStyle w:val="af5"/>
        <w:ind w:firstLineChars="0" w:firstLine="0"/>
        <w:jc w:val="center"/>
        <w:rPr>
          <w:rFonts w:ascii="黑体" w:eastAsia="黑体" w:hAnsi="黑体" w:cs="黑体"/>
          <w:sz w:val="24"/>
          <w:szCs w:val="24"/>
        </w:rPr>
      </w:pPr>
    </w:p>
    <w:p w:rsidR="00DA2178" w:rsidRDefault="00DA2178">
      <w:pPr>
        <w:pStyle w:val="af5"/>
        <w:ind w:firstLineChars="500" w:firstLine="1200"/>
        <w:jc w:val="left"/>
        <w:rPr>
          <w:rFonts w:ascii="黑体" w:eastAsia="黑体" w:hAnsi="黑体" w:cs="黑体"/>
          <w:sz w:val="24"/>
          <w:szCs w:val="24"/>
        </w:rPr>
      </w:pPr>
    </w:p>
    <w:p w:rsidR="00DA2178" w:rsidRDefault="00DA2178">
      <w:pPr>
        <w:pStyle w:val="af5"/>
        <w:ind w:firstLineChars="500" w:firstLine="1200"/>
        <w:jc w:val="left"/>
        <w:rPr>
          <w:rFonts w:ascii="黑体" w:eastAsia="黑体" w:hAnsi="黑体" w:cs="黑体"/>
          <w:sz w:val="24"/>
          <w:szCs w:val="24"/>
        </w:rPr>
      </w:pPr>
    </w:p>
    <w:p w:rsidR="00DA2178" w:rsidRDefault="00DA2178">
      <w:pPr>
        <w:pStyle w:val="af5"/>
        <w:ind w:firstLineChars="500" w:firstLine="1200"/>
        <w:jc w:val="left"/>
        <w:rPr>
          <w:rFonts w:ascii="黑体" w:eastAsia="黑体" w:hAnsi="黑体" w:cs="黑体"/>
          <w:sz w:val="24"/>
          <w:szCs w:val="24"/>
        </w:rPr>
      </w:pPr>
    </w:p>
    <w:p w:rsidR="00DA2178" w:rsidRDefault="00DA2178">
      <w:pPr>
        <w:pStyle w:val="af6"/>
        <w:spacing w:before="360" w:after="360"/>
        <w:rPr>
          <w:rFonts w:hAnsi="黑体" w:cs="黑体"/>
          <w:sz w:val="24"/>
          <w:szCs w:val="24"/>
          <w:shd w:val="clear" w:color="auto" w:fill="FFFFFF"/>
        </w:rPr>
        <w:sectPr w:rsidR="00DA2178">
          <w:pgSz w:w="11906" w:h="16838"/>
          <w:pgMar w:top="1440" w:right="1800" w:bottom="1440" w:left="1800" w:header="851" w:footer="992" w:gutter="0"/>
          <w:cols w:space="720"/>
          <w:docGrid w:type="lines" w:linePitch="312"/>
        </w:sectPr>
      </w:pPr>
    </w:p>
    <w:p w:rsidR="00DA2178" w:rsidRDefault="00000000">
      <w:pPr>
        <w:pStyle w:val="2"/>
        <w:rPr>
          <w:rFonts w:ascii="宋体" w:hAnsi="宋体" w:cs="宋体"/>
          <w:sz w:val="28"/>
          <w:szCs w:val="28"/>
        </w:rPr>
      </w:pPr>
      <w:r>
        <w:rPr>
          <w:rFonts w:ascii="宋体" w:hAnsi="宋体" w:cs="宋体" w:hint="eastAsia"/>
          <w:sz w:val="28"/>
          <w:szCs w:val="28"/>
        </w:rPr>
        <w:lastRenderedPageBreak/>
        <w:t>一、 工作简况</w:t>
      </w:r>
    </w:p>
    <w:p w:rsidR="00DA2178" w:rsidRDefault="00000000">
      <w:pPr>
        <w:pStyle w:val="2"/>
        <w:rPr>
          <w:rFonts w:ascii="宋体" w:hAnsi="宋体" w:cs="宋体"/>
          <w:sz w:val="28"/>
          <w:szCs w:val="28"/>
        </w:rPr>
      </w:pPr>
      <w:r>
        <w:rPr>
          <w:rFonts w:ascii="宋体" w:hAnsi="宋体" w:cs="宋体" w:hint="eastAsia"/>
          <w:sz w:val="28"/>
          <w:szCs w:val="28"/>
        </w:rPr>
        <w:t>1．任务来源</w:t>
      </w:r>
    </w:p>
    <w:p w:rsidR="00DA2178" w:rsidRDefault="00000000">
      <w:pPr>
        <w:pStyle w:val="2"/>
        <w:ind w:firstLineChars="200" w:firstLine="480"/>
        <w:rPr>
          <w:rFonts w:ascii="宋体" w:hAnsi="宋体" w:cs="宋体"/>
          <w:b w:val="0"/>
          <w:bCs w:val="0"/>
          <w:kern w:val="2"/>
          <w:sz w:val="24"/>
          <w:szCs w:val="24"/>
        </w:rPr>
      </w:pPr>
      <w:r>
        <w:rPr>
          <w:rFonts w:ascii="宋体" w:hAnsi="宋体" w:cs="宋体" w:hint="eastAsia"/>
          <w:b w:val="0"/>
          <w:bCs w:val="0"/>
          <w:kern w:val="2"/>
          <w:sz w:val="24"/>
          <w:szCs w:val="24"/>
        </w:rPr>
        <w:t>本团体标准根据中国仪器仪表行业协会</w:t>
      </w:r>
      <w:r w:rsidR="00CD163B">
        <w:rPr>
          <w:rFonts w:ascii="宋体" w:hAnsi="宋体" w:cs="宋体" w:hint="eastAsia"/>
          <w:b w:val="0"/>
          <w:bCs w:val="0"/>
          <w:kern w:val="2"/>
          <w:sz w:val="24"/>
          <w:szCs w:val="24"/>
        </w:rPr>
        <w:t>《</w:t>
      </w:r>
      <w:r>
        <w:rPr>
          <w:rFonts w:ascii="宋体" w:hAnsi="宋体" w:cs="宋体" w:hint="eastAsia"/>
          <w:b w:val="0"/>
          <w:bCs w:val="0"/>
          <w:kern w:val="2"/>
          <w:sz w:val="24"/>
          <w:szCs w:val="24"/>
        </w:rPr>
        <w:t>关于同意</w:t>
      </w:r>
      <w:r w:rsidR="00CD163B">
        <w:rPr>
          <w:rFonts w:ascii="宋体" w:hAnsi="宋体" w:cs="宋体" w:hint="eastAsia"/>
          <w:b w:val="0"/>
          <w:bCs w:val="0"/>
          <w:kern w:val="2"/>
          <w:sz w:val="24"/>
          <w:szCs w:val="24"/>
        </w:rPr>
        <w:t>&lt;</w:t>
      </w:r>
      <w:r>
        <w:rPr>
          <w:rFonts w:ascii="宋体" w:hAnsi="宋体" w:cs="宋体" w:hint="eastAsia"/>
          <w:b w:val="0"/>
          <w:bCs w:val="0"/>
          <w:kern w:val="2"/>
          <w:sz w:val="24"/>
          <w:szCs w:val="24"/>
        </w:rPr>
        <w:t>基于电力流的碳排放计量 第 1 部分：模型指南</w:t>
      </w:r>
      <w:r w:rsidR="00CD163B">
        <w:rPr>
          <w:rFonts w:ascii="宋体" w:hAnsi="宋体" w:cs="宋体" w:hint="eastAsia"/>
          <w:b w:val="0"/>
          <w:bCs w:val="0"/>
          <w:kern w:val="2"/>
          <w:sz w:val="24"/>
          <w:szCs w:val="24"/>
        </w:rPr>
        <w:t>&gt;</w:t>
      </w:r>
      <w:r>
        <w:rPr>
          <w:rFonts w:ascii="宋体" w:hAnsi="宋体" w:cs="宋体" w:hint="eastAsia"/>
          <w:b w:val="0"/>
          <w:bCs w:val="0"/>
          <w:kern w:val="2"/>
          <w:sz w:val="24"/>
          <w:szCs w:val="24"/>
        </w:rPr>
        <w:t>等十项团体标准立项的批复》（中仪协 [202</w:t>
      </w:r>
      <w:r>
        <w:rPr>
          <w:rFonts w:ascii="宋体" w:hAnsi="宋体" w:cs="宋体"/>
          <w:b w:val="0"/>
          <w:bCs w:val="0"/>
          <w:kern w:val="2"/>
          <w:sz w:val="24"/>
          <w:szCs w:val="24"/>
        </w:rPr>
        <w:t>2</w:t>
      </w:r>
      <w:r>
        <w:rPr>
          <w:rFonts w:ascii="宋体" w:hAnsi="宋体" w:cs="宋体" w:hint="eastAsia"/>
          <w:b w:val="0"/>
          <w:bCs w:val="0"/>
          <w:kern w:val="2"/>
          <w:sz w:val="24"/>
          <w:szCs w:val="24"/>
        </w:rPr>
        <w:t>]4号）文件立项，项目名称为《基于电力流的碳排放计量 第 1 部分：计量模型》，项目编号为T/CIMA 00</w:t>
      </w:r>
      <w:r>
        <w:rPr>
          <w:rFonts w:ascii="宋体" w:hAnsi="宋体" w:cs="宋体"/>
          <w:b w:val="0"/>
          <w:bCs w:val="0"/>
          <w:kern w:val="2"/>
          <w:sz w:val="24"/>
          <w:szCs w:val="24"/>
        </w:rPr>
        <w:t>79</w:t>
      </w:r>
      <w:r>
        <w:rPr>
          <w:rFonts w:ascii="宋体" w:hAnsi="宋体" w:cs="宋体" w:hint="eastAsia"/>
          <w:b w:val="0"/>
          <w:bCs w:val="0"/>
          <w:kern w:val="2"/>
          <w:sz w:val="24"/>
          <w:szCs w:val="24"/>
        </w:rPr>
        <w:t>.</w:t>
      </w:r>
      <w:r>
        <w:rPr>
          <w:rFonts w:ascii="宋体" w:hAnsi="宋体" w:cs="宋体"/>
          <w:b w:val="0"/>
          <w:bCs w:val="0"/>
          <w:kern w:val="2"/>
          <w:sz w:val="24"/>
          <w:szCs w:val="24"/>
        </w:rPr>
        <w:t>1</w:t>
      </w:r>
      <w:r>
        <w:rPr>
          <w:rFonts w:ascii="宋体" w:hAnsi="宋体" w:cs="宋体" w:hint="eastAsia"/>
          <w:b w:val="0"/>
          <w:bCs w:val="0"/>
          <w:kern w:val="2"/>
          <w:sz w:val="24"/>
          <w:szCs w:val="24"/>
        </w:rPr>
        <w:t>，由中国仪器仪表行业协会电工仪器仪表分会提出，中国仪器仪表行业协会归口。</w:t>
      </w:r>
    </w:p>
    <w:p w:rsidR="00DA2178" w:rsidRDefault="00000000">
      <w:pPr>
        <w:pStyle w:val="2"/>
        <w:rPr>
          <w:rFonts w:ascii="宋体" w:hAnsi="宋体" w:cs="宋体"/>
          <w:sz w:val="28"/>
          <w:szCs w:val="28"/>
        </w:rPr>
      </w:pPr>
      <w:r>
        <w:rPr>
          <w:rFonts w:ascii="宋体" w:hAnsi="宋体" w:cs="宋体" w:hint="eastAsia"/>
          <w:sz w:val="28"/>
          <w:szCs w:val="28"/>
        </w:rPr>
        <w:t>2．主要工作过程</w:t>
      </w:r>
    </w:p>
    <w:p w:rsidR="00DA2178" w:rsidRDefault="00000000">
      <w:pPr>
        <w:spacing w:line="360" w:lineRule="auto"/>
        <w:ind w:firstLineChars="200" w:firstLine="482"/>
        <w:rPr>
          <w:rFonts w:ascii="宋体" w:hAnsi="宋体" w:cs="宋体"/>
          <w:b/>
          <w:sz w:val="24"/>
          <w:szCs w:val="24"/>
        </w:rPr>
      </w:pPr>
      <w:r>
        <w:rPr>
          <w:rFonts w:ascii="宋体" w:hAnsi="宋体" w:cs="宋体" w:hint="eastAsia"/>
          <w:b/>
          <w:sz w:val="24"/>
          <w:szCs w:val="24"/>
        </w:rPr>
        <w:t>202</w:t>
      </w:r>
      <w:r>
        <w:rPr>
          <w:rFonts w:ascii="宋体" w:hAnsi="宋体" w:cs="宋体"/>
          <w:b/>
          <w:sz w:val="24"/>
          <w:szCs w:val="24"/>
        </w:rPr>
        <w:t>2</w:t>
      </w:r>
      <w:r>
        <w:rPr>
          <w:rFonts w:ascii="宋体" w:hAnsi="宋体" w:cs="宋体" w:hint="eastAsia"/>
          <w:b/>
          <w:sz w:val="24"/>
          <w:szCs w:val="24"/>
        </w:rPr>
        <w:t>年</w:t>
      </w:r>
      <w:r>
        <w:rPr>
          <w:rFonts w:ascii="宋体" w:hAnsi="宋体" w:cs="宋体"/>
          <w:b/>
          <w:sz w:val="24"/>
          <w:szCs w:val="24"/>
        </w:rPr>
        <w:t>1</w:t>
      </w:r>
      <w:r>
        <w:rPr>
          <w:rFonts w:ascii="宋体" w:hAnsi="宋体" w:cs="宋体" w:hint="eastAsia"/>
          <w:b/>
          <w:sz w:val="24"/>
          <w:szCs w:val="24"/>
        </w:rPr>
        <w:t>月：</w:t>
      </w:r>
      <w:r>
        <w:rPr>
          <w:rFonts w:ascii="宋体" w:hAnsi="宋体" w:cs="宋体" w:hint="eastAsia"/>
          <w:bCs/>
          <w:sz w:val="24"/>
          <w:szCs w:val="24"/>
        </w:rPr>
        <w:t>中国仪器仪表行业协会电工仪器仪表分会申请立项</w:t>
      </w:r>
      <w:r>
        <w:rPr>
          <w:rFonts w:ascii="宋体" w:hAnsi="宋体" w:cs="宋体" w:hint="eastAsia"/>
          <w:b/>
          <w:sz w:val="24"/>
          <w:szCs w:val="24"/>
        </w:rPr>
        <w:t>，并形成标准草案稿。</w:t>
      </w:r>
    </w:p>
    <w:p w:rsidR="00DA2178" w:rsidRDefault="00000000">
      <w:pPr>
        <w:spacing w:line="360" w:lineRule="auto"/>
        <w:ind w:firstLineChars="200" w:firstLine="482"/>
        <w:rPr>
          <w:rFonts w:ascii="宋体" w:hAnsi="宋体" w:cs="宋体"/>
          <w:sz w:val="24"/>
          <w:szCs w:val="24"/>
        </w:rPr>
      </w:pPr>
      <w:r>
        <w:rPr>
          <w:rFonts w:ascii="宋体" w:hAnsi="宋体" w:cs="宋体" w:hint="eastAsia"/>
          <w:b/>
          <w:sz w:val="24"/>
          <w:szCs w:val="24"/>
        </w:rPr>
        <w:t>202</w:t>
      </w:r>
      <w:r>
        <w:rPr>
          <w:rFonts w:ascii="宋体" w:hAnsi="宋体" w:cs="宋体"/>
          <w:b/>
          <w:sz w:val="24"/>
          <w:szCs w:val="24"/>
        </w:rPr>
        <w:t>2</w:t>
      </w:r>
      <w:r>
        <w:rPr>
          <w:rFonts w:ascii="宋体" w:hAnsi="宋体" w:cs="宋体" w:hint="eastAsia"/>
          <w:b/>
          <w:sz w:val="24"/>
          <w:szCs w:val="24"/>
        </w:rPr>
        <w:t>年3月：</w:t>
      </w:r>
      <w:r>
        <w:rPr>
          <w:rFonts w:ascii="宋体" w:hAnsi="宋体" w:cs="宋体" w:hint="eastAsia"/>
          <w:sz w:val="24"/>
          <w:szCs w:val="24"/>
        </w:rPr>
        <w:t>中国仪器仪表行业协会下达了《关于同意“基于电力流的碳排放计量 第 1 部分：模型指南”等十项团体标准立项的批复》，由广东电网有限责任公司计量中心牵头，组织</w:t>
      </w:r>
      <w:r>
        <w:rPr>
          <w:rFonts w:ascii="黑体" w:eastAsia="黑体" w:hAnsi="黑体" w:cs="黑体" w:hint="eastAsia"/>
          <w:b/>
          <w:sz w:val="24"/>
          <w:szCs w:val="24"/>
        </w:rPr>
        <w:t>成立标准起草工作组</w:t>
      </w:r>
      <w:r>
        <w:rPr>
          <w:rFonts w:ascii="宋体" w:hAnsi="宋体" w:cs="宋体" w:hint="eastAsia"/>
          <w:sz w:val="24"/>
          <w:szCs w:val="24"/>
        </w:rPr>
        <w:t>。</w:t>
      </w:r>
    </w:p>
    <w:p w:rsidR="00DA2178" w:rsidRDefault="00000000">
      <w:pPr>
        <w:spacing w:line="360" w:lineRule="auto"/>
        <w:ind w:firstLineChars="200" w:firstLine="482"/>
        <w:rPr>
          <w:rFonts w:ascii="宋体" w:hAnsi="宋体" w:cs="宋体"/>
          <w:sz w:val="24"/>
          <w:szCs w:val="24"/>
        </w:rPr>
      </w:pPr>
      <w:r>
        <w:rPr>
          <w:rFonts w:ascii="宋体" w:hAnsi="宋体" w:cs="宋体" w:hint="eastAsia"/>
          <w:b/>
          <w:sz w:val="24"/>
          <w:szCs w:val="24"/>
        </w:rPr>
        <w:t>202</w:t>
      </w:r>
      <w:r>
        <w:rPr>
          <w:rFonts w:ascii="宋体" w:hAnsi="宋体" w:cs="宋体"/>
          <w:b/>
          <w:sz w:val="24"/>
          <w:szCs w:val="24"/>
        </w:rPr>
        <w:t>2</w:t>
      </w:r>
      <w:r>
        <w:rPr>
          <w:rFonts w:ascii="宋体" w:hAnsi="宋体" w:cs="宋体" w:hint="eastAsia"/>
          <w:b/>
          <w:sz w:val="24"/>
          <w:szCs w:val="24"/>
        </w:rPr>
        <w:t>年</w:t>
      </w:r>
      <w:r>
        <w:rPr>
          <w:rFonts w:ascii="宋体" w:hAnsi="宋体" w:cs="宋体"/>
          <w:b/>
          <w:sz w:val="24"/>
          <w:szCs w:val="24"/>
        </w:rPr>
        <w:t>3</w:t>
      </w:r>
      <w:r>
        <w:rPr>
          <w:rFonts w:ascii="宋体" w:hAnsi="宋体" w:cs="宋体" w:hint="eastAsia"/>
          <w:b/>
          <w:sz w:val="24"/>
          <w:szCs w:val="24"/>
        </w:rPr>
        <w:t>月-202</w:t>
      </w:r>
      <w:r>
        <w:rPr>
          <w:rFonts w:ascii="宋体" w:hAnsi="宋体" w:cs="宋体"/>
          <w:b/>
          <w:sz w:val="24"/>
          <w:szCs w:val="24"/>
        </w:rPr>
        <w:t>2</w:t>
      </w:r>
      <w:r>
        <w:rPr>
          <w:rFonts w:ascii="宋体" w:hAnsi="宋体" w:cs="宋体" w:hint="eastAsia"/>
          <w:b/>
          <w:sz w:val="24"/>
          <w:szCs w:val="24"/>
        </w:rPr>
        <w:t>年</w:t>
      </w:r>
      <w:r>
        <w:rPr>
          <w:rFonts w:ascii="宋体" w:hAnsi="宋体" w:cs="宋体"/>
          <w:b/>
          <w:sz w:val="24"/>
          <w:szCs w:val="24"/>
        </w:rPr>
        <w:t>4</w:t>
      </w:r>
      <w:r>
        <w:rPr>
          <w:rFonts w:ascii="宋体" w:hAnsi="宋体" w:cs="宋体" w:hint="eastAsia"/>
          <w:b/>
          <w:sz w:val="24"/>
          <w:szCs w:val="24"/>
        </w:rPr>
        <w:t>月：</w:t>
      </w:r>
      <w:r>
        <w:rPr>
          <w:rFonts w:ascii="宋体" w:hAnsi="宋体" w:cs="宋体" w:hint="eastAsia"/>
          <w:sz w:val="24"/>
          <w:szCs w:val="24"/>
        </w:rPr>
        <w:t>启动团体标准制定工作。起草组严格按照《国家标准管理办法》、GB/T 1.1—2020《标准化工作导则 第1部分：标准化文件的结构和起草规则编写》等文件的要求进行标准制定并</w:t>
      </w:r>
      <w:r>
        <w:rPr>
          <w:rFonts w:ascii="黑体" w:eastAsia="黑体" w:hAnsi="黑体" w:cs="黑体" w:hint="eastAsia"/>
          <w:b/>
          <w:sz w:val="24"/>
          <w:szCs w:val="24"/>
        </w:rPr>
        <w:t>形成了工作组讨论稿</w:t>
      </w:r>
      <w:r>
        <w:rPr>
          <w:rFonts w:ascii="宋体" w:hAnsi="宋体" w:cs="宋体" w:hint="eastAsia"/>
          <w:sz w:val="24"/>
          <w:szCs w:val="24"/>
        </w:rPr>
        <w:t>。</w:t>
      </w:r>
    </w:p>
    <w:p w:rsidR="00DA2178" w:rsidRDefault="00000000">
      <w:pPr>
        <w:spacing w:line="360" w:lineRule="auto"/>
        <w:ind w:firstLineChars="196" w:firstLine="472"/>
        <w:rPr>
          <w:rFonts w:ascii="宋体" w:hAnsi="宋体" w:cs="宋体"/>
          <w:sz w:val="24"/>
          <w:szCs w:val="24"/>
        </w:rPr>
      </w:pPr>
      <w:bookmarkStart w:id="0" w:name="_Hlk17657671"/>
      <w:r>
        <w:rPr>
          <w:rFonts w:ascii="宋体" w:hAnsi="宋体" w:cs="宋体" w:hint="eastAsia"/>
          <w:b/>
          <w:sz w:val="24"/>
          <w:szCs w:val="24"/>
        </w:rPr>
        <w:t>202</w:t>
      </w:r>
      <w:r>
        <w:rPr>
          <w:rFonts w:ascii="宋体" w:hAnsi="宋体" w:cs="宋体"/>
          <w:b/>
          <w:sz w:val="24"/>
          <w:szCs w:val="24"/>
        </w:rPr>
        <w:t>2</w:t>
      </w:r>
      <w:r>
        <w:rPr>
          <w:rFonts w:ascii="宋体" w:hAnsi="宋体" w:cs="宋体" w:hint="eastAsia"/>
          <w:b/>
          <w:sz w:val="24"/>
          <w:szCs w:val="24"/>
        </w:rPr>
        <w:t>年4月</w:t>
      </w:r>
      <w:bookmarkEnd w:id="0"/>
      <w:r>
        <w:rPr>
          <w:rFonts w:ascii="宋体" w:hAnsi="宋体" w:cs="宋体" w:hint="eastAsia"/>
          <w:sz w:val="24"/>
          <w:szCs w:val="24"/>
        </w:rPr>
        <w:t>：工作组讨论稿在标准编制工作组内部第一次征求意见，共回收意见</w:t>
      </w:r>
      <w:r>
        <w:rPr>
          <w:rFonts w:ascii="宋体" w:hAnsi="宋体" w:cs="宋体"/>
          <w:sz w:val="24"/>
          <w:szCs w:val="24"/>
        </w:rPr>
        <w:t>12</w:t>
      </w:r>
      <w:r>
        <w:rPr>
          <w:rFonts w:ascii="宋体" w:hAnsi="宋体" w:cs="宋体" w:hint="eastAsia"/>
          <w:sz w:val="24"/>
          <w:szCs w:val="24"/>
        </w:rPr>
        <w:t>条，主笔单位按照回收意见对工作组讨论稿进行了修改完善。</w:t>
      </w:r>
    </w:p>
    <w:p w:rsidR="00DA2178" w:rsidRDefault="00000000">
      <w:pPr>
        <w:spacing w:line="360" w:lineRule="auto"/>
        <w:ind w:firstLineChars="196" w:firstLine="472"/>
        <w:rPr>
          <w:rFonts w:ascii="宋体" w:hAnsi="宋体" w:cs="宋体"/>
          <w:sz w:val="24"/>
          <w:szCs w:val="24"/>
        </w:rPr>
      </w:pPr>
      <w:r>
        <w:rPr>
          <w:rFonts w:ascii="宋体" w:hAnsi="宋体" w:cs="宋体" w:hint="eastAsia"/>
          <w:b/>
          <w:sz w:val="24"/>
          <w:szCs w:val="24"/>
        </w:rPr>
        <w:t>202</w:t>
      </w:r>
      <w:r>
        <w:rPr>
          <w:rFonts w:ascii="宋体" w:hAnsi="宋体" w:cs="宋体"/>
          <w:b/>
          <w:sz w:val="24"/>
          <w:szCs w:val="24"/>
        </w:rPr>
        <w:t>2</w:t>
      </w:r>
      <w:r>
        <w:rPr>
          <w:rFonts w:ascii="宋体" w:hAnsi="宋体" w:cs="宋体" w:hint="eastAsia"/>
          <w:b/>
          <w:sz w:val="24"/>
          <w:szCs w:val="24"/>
        </w:rPr>
        <w:t>年4月</w:t>
      </w:r>
      <w:r>
        <w:rPr>
          <w:rFonts w:ascii="宋体" w:hAnsi="宋体" w:cs="宋体"/>
          <w:b/>
          <w:sz w:val="24"/>
          <w:szCs w:val="24"/>
        </w:rPr>
        <w:t>26</w:t>
      </w:r>
      <w:r>
        <w:rPr>
          <w:rFonts w:ascii="宋体" w:hAnsi="宋体" w:cs="宋体" w:hint="eastAsia"/>
          <w:b/>
          <w:sz w:val="24"/>
          <w:szCs w:val="24"/>
        </w:rPr>
        <w:t>日：</w:t>
      </w:r>
      <w:r>
        <w:rPr>
          <w:rFonts w:ascii="宋体" w:hAnsi="宋体" w:cs="宋体" w:hint="eastAsia"/>
          <w:bCs/>
          <w:sz w:val="24"/>
          <w:szCs w:val="24"/>
        </w:rPr>
        <w:t>通过</w:t>
      </w:r>
      <w:r>
        <w:rPr>
          <w:rFonts w:ascii="宋体" w:hAnsi="宋体" w:cs="宋体" w:hint="eastAsia"/>
          <w:sz w:val="24"/>
          <w:szCs w:val="24"/>
        </w:rPr>
        <w:t>线上视频会议的形式召开起草工作组第一次会议，工作组对工作组讨论稿的标准化对象、结构进行了认真、细致的逐条讨论，明确了标准化对象、标准的适用范围和整体结构，形成会议纪要。</w:t>
      </w:r>
    </w:p>
    <w:p w:rsidR="00DA2178" w:rsidRDefault="00000000">
      <w:pPr>
        <w:spacing w:line="360" w:lineRule="auto"/>
        <w:ind w:firstLineChars="200" w:firstLine="482"/>
        <w:rPr>
          <w:rFonts w:ascii="宋体" w:hAnsi="宋体" w:cs="宋体"/>
          <w:sz w:val="24"/>
          <w:szCs w:val="24"/>
        </w:rPr>
      </w:pPr>
      <w:r>
        <w:rPr>
          <w:rFonts w:ascii="宋体" w:hAnsi="宋体" w:cs="宋体" w:hint="eastAsia"/>
          <w:b/>
          <w:bCs/>
          <w:sz w:val="24"/>
          <w:szCs w:val="24"/>
        </w:rPr>
        <w:t>202</w:t>
      </w:r>
      <w:r>
        <w:rPr>
          <w:rFonts w:ascii="宋体" w:hAnsi="宋体" w:cs="宋体"/>
          <w:b/>
          <w:bCs/>
          <w:sz w:val="24"/>
          <w:szCs w:val="24"/>
        </w:rPr>
        <w:t>2</w:t>
      </w:r>
      <w:r>
        <w:rPr>
          <w:rFonts w:ascii="宋体" w:hAnsi="宋体" w:cs="宋体" w:hint="eastAsia"/>
          <w:b/>
          <w:bCs/>
          <w:sz w:val="24"/>
          <w:szCs w:val="24"/>
        </w:rPr>
        <w:t>年5月-2021年9月：</w:t>
      </w:r>
      <w:r>
        <w:rPr>
          <w:rFonts w:ascii="宋体" w:hAnsi="宋体" w:cs="宋体" w:hint="eastAsia"/>
          <w:sz w:val="24"/>
          <w:szCs w:val="24"/>
        </w:rPr>
        <w:t>工作组讨论稿在标准编制工作组内部第二次征求意见，共回收意见</w:t>
      </w:r>
      <w:r>
        <w:rPr>
          <w:rFonts w:ascii="宋体" w:hAnsi="宋体" w:cs="宋体"/>
          <w:sz w:val="24"/>
          <w:szCs w:val="24"/>
        </w:rPr>
        <w:t>3</w:t>
      </w:r>
      <w:r>
        <w:rPr>
          <w:rFonts w:ascii="宋体" w:hAnsi="宋体" w:cs="宋体" w:hint="eastAsia"/>
          <w:sz w:val="24"/>
          <w:szCs w:val="24"/>
        </w:rPr>
        <w:t>条，主笔单位按照回收意见对工作组讨论稿进行了修改完善。</w:t>
      </w:r>
    </w:p>
    <w:p w:rsidR="00DA2178" w:rsidRDefault="00000000">
      <w:pPr>
        <w:spacing w:line="360" w:lineRule="auto"/>
        <w:ind w:firstLineChars="196" w:firstLine="472"/>
        <w:rPr>
          <w:rFonts w:ascii="宋体" w:hAnsi="宋体" w:cs="宋体"/>
          <w:sz w:val="24"/>
          <w:szCs w:val="24"/>
        </w:rPr>
      </w:pPr>
      <w:r>
        <w:rPr>
          <w:rFonts w:ascii="宋体" w:hAnsi="宋体" w:cs="宋体" w:hint="eastAsia"/>
          <w:b/>
          <w:bCs/>
          <w:sz w:val="24"/>
          <w:szCs w:val="24"/>
        </w:rPr>
        <w:t>202</w:t>
      </w:r>
      <w:r>
        <w:rPr>
          <w:rFonts w:ascii="宋体" w:hAnsi="宋体" w:cs="宋体"/>
          <w:b/>
          <w:bCs/>
          <w:sz w:val="24"/>
          <w:szCs w:val="24"/>
        </w:rPr>
        <w:t>2</w:t>
      </w:r>
      <w:r>
        <w:rPr>
          <w:rFonts w:ascii="宋体" w:hAnsi="宋体" w:cs="宋体" w:hint="eastAsia"/>
          <w:b/>
          <w:bCs/>
          <w:sz w:val="24"/>
          <w:szCs w:val="24"/>
        </w:rPr>
        <w:t>年9月</w:t>
      </w:r>
      <w:r>
        <w:rPr>
          <w:rFonts w:ascii="宋体" w:hAnsi="宋体" w:cs="宋体"/>
          <w:b/>
          <w:bCs/>
          <w:sz w:val="24"/>
          <w:szCs w:val="24"/>
        </w:rPr>
        <w:t>22</w:t>
      </w:r>
      <w:r>
        <w:rPr>
          <w:rFonts w:ascii="宋体" w:hAnsi="宋体" w:cs="宋体" w:hint="eastAsia"/>
          <w:b/>
          <w:bCs/>
          <w:sz w:val="24"/>
          <w:szCs w:val="24"/>
        </w:rPr>
        <w:t>日：</w:t>
      </w:r>
      <w:r>
        <w:rPr>
          <w:rFonts w:ascii="宋体" w:hAnsi="宋体" w:cs="宋体" w:hint="eastAsia"/>
          <w:sz w:val="24"/>
          <w:szCs w:val="24"/>
        </w:rPr>
        <w:t>在武汉召开起草工作组第二次会议，对标准工作组讨论</w:t>
      </w:r>
      <w:r>
        <w:rPr>
          <w:rFonts w:ascii="宋体" w:hAnsi="宋体" w:cs="宋体" w:hint="eastAsia"/>
          <w:sz w:val="24"/>
          <w:szCs w:val="24"/>
        </w:rPr>
        <w:lastRenderedPageBreak/>
        <w:t>稿以及所征求的意见内容进行了仔细讨论，形成会议纪要。</w:t>
      </w:r>
    </w:p>
    <w:p w:rsidR="00DA2178" w:rsidRDefault="00000000">
      <w:pPr>
        <w:spacing w:line="360" w:lineRule="auto"/>
        <w:ind w:firstLineChars="196" w:firstLine="472"/>
        <w:rPr>
          <w:rFonts w:ascii="宋体" w:hAnsi="宋体" w:cs="宋体"/>
          <w:b/>
          <w:bCs/>
          <w:sz w:val="24"/>
          <w:szCs w:val="24"/>
        </w:rPr>
      </w:pPr>
      <w:r>
        <w:rPr>
          <w:rFonts w:ascii="宋体" w:hAnsi="宋体" w:cs="宋体" w:hint="eastAsia"/>
          <w:b/>
          <w:bCs/>
          <w:sz w:val="24"/>
          <w:szCs w:val="24"/>
        </w:rPr>
        <w:t>2022年10-12月：</w:t>
      </w:r>
      <w:r>
        <w:rPr>
          <w:rFonts w:ascii="宋体" w:hAnsi="宋体" w:cs="宋体" w:hint="eastAsia"/>
          <w:sz w:val="24"/>
          <w:szCs w:val="24"/>
        </w:rPr>
        <w:t>工作组讨论稿在标准编制工作组内部第三次征求意见，共回收意见4条，主笔单位按照回收意见对工作组讨论稿进行了修改完善。会后</w:t>
      </w:r>
      <w:r>
        <w:rPr>
          <w:rFonts w:ascii="宋体" w:hAnsi="宋体" w:cs="宋体" w:hint="eastAsia"/>
          <w:b/>
          <w:bCs/>
          <w:sz w:val="24"/>
          <w:szCs w:val="24"/>
        </w:rPr>
        <w:t>形成征求意见稿。</w:t>
      </w:r>
    </w:p>
    <w:p w:rsidR="00DA2178" w:rsidRDefault="00DA2178">
      <w:pPr>
        <w:spacing w:line="360" w:lineRule="auto"/>
        <w:ind w:firstLineChars="196" w:firstLine="470"/>
        <w:rPr>
          <w:rFonts w:ascii="宋体" w:hAnsi="宋体" w:cs="宋体"/>
          <w:sz w:val="24"/>
          <w:szCs w:val="24"/>
        </w:rPr>
      </w:pPr>
    </w:p>
    <w:p w:rsidR="00DA2178" w:rsidRDefault="00000000">
      <w:pPr>
        <w:spacing w:line="360" w:lineRule="auto"/>
        <w:ind w:firstLineChars="196" w:firstLine="472"/>
        <w:rPr>
          <w:rFonts w:ascii="宋体" w:hAnsi="宋体" w:cs="宋体"/>
          <w:sz w:val="24"/>
          <w:szCs w:val="24"/>
        </w:rPr>
      </w:pPr>
      <w:r>
        <w:rPr>
          <w:rFonts w:ascii="宋体" w:hAnsi="宋体" w:cs="宋体" w:hint="eastAsia"/>
          <w:b/>
          <w:sz w:val="24"/>
          <w:szCs w:val="24"/>
        </w:rPr>
        <w:t>2023年2月10日，</w:t>
      </w:r>
      <w:r>
        <w:rPr>
          <w:rFonts w:ascii="宋体" w:hAnsi="宋体" w:cs="宋体" w:hint="eastAsia"/>
          <w:b/>
          <w:bCs/>
          <w:sz w:val="24"/>
          <w:szCs w:val="24"/>
        </w:rPr>
        <w:t>广泛征求意见</w:t>
      </w:r>
      <w:r>
        <w:rPr>
          <w:rFonts w:ascii="宋体" w:hAnsi="宋体" w:cs="宋体" w:hint="eastAsia"/>
          <w:bCs/>
          <w:sz w:val="24"/>
          <w:szCs w:val="24"/>
        </w:rPr>
        <w:t>，</w:t>
      </w:r>
      <w:r>
        <w:rPr>
          <w:rFonts w:ascii="宋体" w:hAnsi="宋体" w:cs="宋体" w:hint="eastAsia"/>
          <w:sz w:val="24"/>
          <w:szCs w:val="24"/>
        </w:rPr>
        <w:t>征求意见稿在网站、微信公众号等平台公示，征集行业意见。</w:t>
      </w:r>
    </w:p>
    <w:p w:rsidR="00DA2178" w:rsidRDefault="00000000">
      <w:pPr>
        <w:spacing w:line="360" w:lineRule="auto"/>
        <w:ind w:firstLineChars="196" w:firstLine="470"/>
        <w:rPr>
          <w:rFonts w:ascii="宋体" w:hAnsi="宋体" w:cs="宋体"/>
          <w:bCs/>
          <w:sz w:val="24"/>
          <w:szCs w:val="24"/>
        </w:rPr>
      </w:pPr>
      <w:r>
        <w:rPr>
          <w:rFonts w:ascii="宋体" w:hAnsi="宋体" w:cs="宋体" w:hint="eastAsia"/>
          <w:bCs/>
          <w:sz w:val="24"/>
          <w:szCs w:val="24"/>
        </w:rPr>
        <w:t xml:space="preserve"> </w:t>
      </w:r>
      <w:r>
        <w:rPr>
          <w:rFonts w:ascii="宋体" w:hAnsi="宋体" w:cs="宋体"/>
          <w:bCs/>
          <w:sz w:val="24"/>
          <w:szCs w:val="24"/>
        </w:rPr>
        <w:t xml:space="preserve">  </w:t>
      </w:r>
    </w:p>
    <w:p w:rsidR="00DA2178" w:rsidRDefault="00000000">
      <w:pPr>
        <w:pStyle w:val="2"/>
        <w:rPr>
          <w:rFonts w:ascii="宋体" w:hAnsi="宋体" w:cs="宋体"/>
          <w:sz w:val="28"/>
          <w:szCs w:val="28"/>
          <w:lang w:val="zh-CN"/>
        </w:rPr>
      </w:pPr>
      <w:r>
        <w:rPr>
          <w:rFonts w:ascii="宋体" w:hAnsi="宋体" w:cs="宋体" w:hint="eastAsia"/>
          <w:sz w:val="28"/>
          <w:szCs w:val="28"/>
        </w:rPr>
        <w:t>3．</w:t>
      </w:r>
      <w:r>
        <w:rPr>
          <w:rFonts w:ascii="宋体" w:hAnsi="宋体" w:cs="宋体" w:hint="eastAsia"/>
          <w:sz w:val="28"/>
          <w:szCs w:val="28"/>
          <w:lang w:val="zh-CN"/>
        </w:rPr>
        <w:t>主要参加单位和工作组成员及其所做的工作</w:t>
      </w:r>
    </w:p>
    <w:p w:rsidR="00DA2178" w:rsidRDefault="00000000">
      <w:pPr>
        <w:spacing w:line="360" w:lineRule="auto"/>
        <w:ind w:firstLineChars="200" w:firstLine="480"/>
        <w:rPr>
          <w:rFonts w:ascii="Times New Roman" w:hAnsi="Times New Roman"/>
          <w:sz w:val="24"/>
          <w:szCs w:val="24"/>
        </w:rPr>
      </w:pPr>
      <w:r>
        <w:rPr>
          <w:rFonts w:ascii="Times New Roman" w:hAnsi="Times New Roman"/>
          <w:sz w:val="24"/>
          <w:szCs w:val="24"/>
        </w:rPr>
        <w:t>工作组组长和牵头起草单位是</w:t>
      </w:r>
      <w:r>
        <w:rPr>
          <w:rFonts w:ascii="宋体" w:hAnsi="宋体" w:cs="宋体" w:hint="eastAsia"/>
          <w:sz w:val="24"/>
          <w:szCs w:val="24"/>
        </w:rPr>
        <w:t>广东电网有限责任公司计量中心</w:t>
      </w:r>
      <w:r>
        <w:rPr>
          <w:rFonts w:ascii="Times New Roman" w:hAnsi="Times New Roman"/>
          <w:sz w:val="24"/>
          <w:szCs w:val="24"/>
        </w:rPr>
        <w:t>，主要起草单位有</w:t>
      </w:r>
      <w:r>
        <w:rPr>
          <w:rFonts w:hAnsi="宋体" w:cs="宋体" w:hint="eastAsia"/>
          <w:sz w:val="24"/>
          <w:szCs w:val="24"/>
        </w:rPr>
        <w:t>哈尔滨电工仪表研究所有限公司、中国电力科学研究院有限公司、广西电网有限责任公司计量中心、南方电网科学研究院、北京市腾河智慧能源科技有限公司、深圳市星龙科技股份有限公司、威胜集团有限公司、深圳市科陆电子科技股份有限公司等</w:t>
      </w:r>
      <w:r>
        <w:rPr>
          <w:rFonts w:ascii="Times New Roman" w:hAnsi="Times New Roman"/>
          <w:sz w:val="24"/>
          <w:szCs w:val="24"/>
        </w:rPr>
        <w:t>。</w:t>
      </w:r>
    </w:p>
    <w:p w:rsidR="00DA2178"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本文件</w:t>
      </w:r>
      <w:r>
        <w:rPr>
          <w:rFonts w:ascii="Times New Roman" w:hAnsi="Times New Roman"/>
          <w:sz w:val="24"/>
          <w:szCs w:val="24"/>
        </w:rPr>
        <w:t>主要起草人：</w:t>
      </w:r>
      <w:r>
        <w:rPr>
          <w:rFonts w:ascii="Times New Roman" w:hAnsi="Times New Roman" w:hint="eastAsia"/>
          <w:sz w:val="24"/>
          <w:szCs w:val="24"/>
        </w:rPr>
        <w:t>潘峰、招景明、杨雨瑶、李经儒、冯浩洋、马键、张鼎衢</w:t>
      </w:r>
      <w:r>
        <w:rPr>
          <w:rFonts w:hAnsi="宋体" w:cs="宋体" w:hint="eastAsia"/>
          <w:sz w:val="24"/>
          <w:szCs w:val="24"/>
          <w:lang w:bidi="ar"/>
        </w:rPr>
        <w:t>等</w:t>
      </w:r>
      <w:r>
        <w:rPr>
          <w:sz w:val="24"/>
          <w:szCs w:val="24"/>
        </w:rPr>
        <w:t>。</w:t>
      </w:r>
    </w:p>
    <w:p w:rsidR="00DA2178" w:rsidRDefault="00000000">
      <w:pPr>
        <w:spacing w:line="360" w:lineRule="auto"/>
        <w:ind w:firstLineChars="200" w:firstLine="480"/>
        <w:rPr>
          <w:rFonts w:ascii="Times New Roman" w:hAnsi="Times New Roman"/>
          <w:sz w:val="24"/>
          <w:szCs w:val="24"/>
        </w:rPr>
      </w:pPr>
      <w:r>
        <w:rPr>
          <w:rFonts w:ascii="宋体" w:hAnsi="宋体" w:cs="宋体" w:hint="eastAsia"/>
          <w:sz w:val="24"/>
          <w:szCs w:val="24"/>
        </w:rPr>
        <w:t>广东电网有限责任公司计量中心</w:t>
      </w:r>
      <w:r>
        <w:rPr>
          <w:rFonts w:ascii="Times New Roman" w:hAnsi="Times New Roman"/>
          <w:sz w:val="24"/>
          <w:szCs w:val="24"/>
        </w:rPr>
        <w:t>作为执笔单位负责了</w:t>
      </w:r>
      <w:r>
        <w:rPr>
          <w:rFonts w:ascii="Times New Roman" w:hAnsi="Times New Roman" w:hint="eastAsia"/>
          <w:sz w:val="24"/>
          <w:szCs w:val="24"/>
        </w:rPr>
        <w:t>本文件</w:t>
      </w:r>
      <w:r>
        <w:rPr>
          <w:rFonts w:ascii="Times New Roman" w:hAnsi="Times New Roman"/>
          <w:sz w:val="24"/>
          <w:szCs w:val="24"/>
        </w:rPr>
        <w:t>的工作组讨论稿和征求意见稿的起草、修改工作。</w:t>
      </w:r>
    </w:p>
    <w:p w:rsidR="00DA2178" w:rsidRDefault="00000000">
      <w:pPr>
        <w:spacing w:line="360" w:lineRule="auto"/>
        <w:ind w:firstLineChars="200" w:firstLine="480"/>
        <w:rPr>
          <w:sz w:val="24"/>
          <w:szCs w:val="24"/>
        </w:rPr>
      </w:pPr>
      <w:r>
        <w:rPr>
          <w:rFonts w:ascii="Times New Roman" w:hAnsi="Times New Roman" w:hint="eastAsia"/>
          <w:sz w:val="24"/>
          <w:szCs w:val="24"/>
        </w:rPr>
        <w:t>潘峰、招景明、杨雨瑶为本文件的主笔人，负责标准的编写，刘献成为本文件起草工作组的组长，王宏博、何珊等为本文件起草工作组的组员，负责标准的编写进程和组织协调工作；李经儒、冯浩洋、马键、张鼎衢等工作组成员为本文件的编写和修改工作给与大量帮助。</w:t>
      </w:r>
    </w:p>
    <w:p w:rsidR="00DA2178" w:rsidRDefault="00000000">
      <w:pPr>
        <w:pStyle w:val="2"/>
        <w:rPr>
          <w:rFonts w:ascii="宋体" w:hAnsi="宋体" w:cs="宋体"/>
          <w:sz w:val="28"/>
          <w:szCs w:val="28"/>
        </w:rPr>
      </w:pPr>
      <w:r>
        <w:rPr>
          <w:rFonts w:ascii="宋体" w:hAnsi="宋体" w:cs="宋体" w:hint="eastAsia"/>
          <w:sz w:val="28"/>
          <w:szCs w:val="28"/>
        </w:rPr>
        <w:t>二、  标准编制原则和主要技术内容确定的依据</w:t>
      </w:r>
    </w:p>
    <w:p w:rsidR="00DA2178" w:rsidRDefault="00000000">
      <w:pPr>
        <w:pStyle w:val="2"/>
        <w:rPr>
          <w:rFonts w:ascii="宋体" w:hAnsi="宋体" w:cs="宋体"/>
          <w:sz w:val="28"/>
          <w:szCs w:val="28"/>
        </w:rPr>
      </w:pPr>
      <w:r>
        <w:rPr>
          <w:rFonts w:ascii="宋体" w:hAnsi="宋体" w:cs="宋体" w:hint="eastAsia"/>
          <w:sz w:val="28"/>
          <w:szCs w:val="28"/>
        </w:rPr>
        <w:t>1．主要阐述标准制定或修订过程遵循的基本原则</w:t>
      </w:r>
    </w:p>
    <w:p w:rsidR="00DA2178" w:rsidRDefault="00000000">
      <w:pPr>
        <w:spacing w:line="360" w:lineRule="auto"/>
        <w:ind w:firstLineChars="250" w:firstLine="600"/>
        <w:rPr>
          <w:rFonts w:ascii="宋体" w:hAnsi="宋体" w:cs="宋体"/>
          <w:sz w:val="24"/>
          <w:szCs w:val="24"/>
        </w:rPr>
      </w:pPr>
      <w:r>
        <w:rPr>
          <w:rFonts w:ascii="宋体" w:hAnsi="宋体" w:cs="宋体" w:hint="eastAsia"/>
          <w:sz w:val="24"/>
          <w:szCs w:val="24"/>
        </w:rPr>
        <w:t>本文件按</w:t>
      </w:r>
      <w:r>
        <w:rPr>
          <w:rFonts w:ascii="宋体" w:hAnsi="宋体" w:cs="宋体"/>
          <w:sz w:val="24"/>
          <w:szCs w:val="24"/>
        </w:rPr>
        <w:t>GB/T 1.1-</w:t>
      </w:r>
      <w:r>
        <w:rPr>
          <w:rFonts w:ascii="宋体" w:hAnsi="宋体" w:cs="宋体" w:hint="eastAsia"/>
          <w:sz w:val="24"/>
          <w:szCs w:val="24"/>
        </w:rPr>
        <w:t>2020《标准化工作导则 第1部分：标准化文件的结构和起草规则编写》的要求编写。除参考</w:t>
      </w:r>
      <w:r>
        <w:rPr>
          <w:rFonts w:ascii="宋体" w:hAnsi="宋体" w:cs="宋体"/>
          <w:sz w:val="24"/>
          <w:szCs w:val="24"/>
        </w:rPr>
        <w:t>GB/T 32151.2-2015</w:t>
      </w:r>
      <w:r>
        <w:rPr>
          <w:rFonts w:ascii="宋体" w:hAnsi="宋体" w:cs="宋体" w:hint="eastAsia"/>
          <w:sz w:val="24"/>
          <w:szCs w:val="24"/>
        </w:rPr>
        <w:t>的相关内容外，主要</w:t>
      </w:r>
      <w:r>
        <w:rPr>
          <w:rFonts w:ascii="宋体" w:hAnsi="宋体" w:cs="宋体" w:hint="eastAsia"/>
          <w:sz w:val="24"/>
          <w:szCs w:val="24"/>
        </w:rPr>
        <w:lastRenderedPageBreak/>
        <w:t>提出了发电侧上网关口、输配电线路和负荷侧的碳排放计量模型。</w:t>
      </w:r>
    </w:p>
    <w:p w:rsidR="00DA2178" w:rsidRDefault="00000000">
      <w:pPr>
        <w:pStyle w:val="2"/>
        <w:rPr>
          <w:rFonts w:ascii="宋体" w:hAnsi="宋体" w:cs="宋体"/>
          <w:sz w:val="28"/>
          <w:szCs w:val="28"/>
        </w:rPr>
      </w:pPr>
      <w:r>
        <w:rPr>
          <w:rFonts w:ascii="宋体" w:hAnsi="宋体" w:cs="宋体" w:hint="eastAsia"/>
          <w:sz w:val="28"/>
          <w:szCs w:val="28"/>
        </w:rPr>
        <w:t>2．标准主要内容中范围、技术要求、试验方法、检验规则依据</w:t>
      </w:r>
    </w:p>
    <w:p w:rsidR="00DA2178" w:rsidRDefault="00000000">
      <w:pPr>
        <w:pStyle w:val="2"/>
        <w:rPr>
          <w:rFonts w:ascii="宋体" w:hAnsi="宋体" w:cs="宋体"/>
          <w:sz w:val="28"/>
          <w:szCs w:val="28"/>
        </w:rPr>
      </w:pPr>
      <w:r>
        <w:rPr>
          <w:rFonts w:ascii="宋体" w:hAnsi="宋体" w:cs="宋体" w:hint="eastAsia"/>
          <w:sz w:val="28"/>
          <w:szCs w:val="28"/>
        </w:rPr>
        <w:t>2.1  范围</w:t>
      </w:r>
    </w:p>
    <w:p w:rsidR="00DA2178" w:rsidRDefault="00000000">
      <w:pPr>
        <w:spacing w:line="360" w:lineRule="auto"/>
        <w:ind w:firstLineChars="250" w:firstLine="600"/>
        <w:rPr>
          <w:rFonts w:ascii="宋体" w:hAnsi="宋体" w:cs="宋体"/>
          <w:sz w:val="24"/>
          <w:szCs w:val="24"/>
        </w:rPr>
      </w:pPr>
      <w:r>
        <w:rPr>
          <w:rFonts w:ascii="宋体" w:hAnsi="宋体" w:cs="宋体" w:hint="eastAsia"/>
          <w:sz w:val="24"/>
          <w:szCs w:val="24"/>
        </w:rPr>
        <w:t>本文件规定了基于电力流的碳排放计量体系和计量模型。</w:t>
      </w:r>
    </w:p>
    <w:p w:rsidR="00DA2178" w:rsidRDefault="00000000">
      <w:pPr>
        <w:spacing w:line="360" w:lineRule="auto"/>
        <w:ind w:firstLineChars="250" w:firstLine="600"/>
        <w:rPr>
          <w:rFonts w:ascii="宋体" w:hAnsi="宋体" w:cs="宋体"/>
          <w:sz w:val="24"/>
          <w:szCs w:val="24"/>
        </w:rPr>
      </w:pPr>
      <w:r>
        <w:rPr>
          <w:rFonts w:ascii="宋体" w:hAnsi="宋体" w:cs="宋体" w:hint="eastAsia"/>
          <w:sz w:val="24"/>
          <w:szCs w:val="24"/>
        </w:rPr>
        <w:t>本文件适用于电网企业和电力用户的碳排放计量。</w:t>
      </w:r>
    </w:p>
    <w:p w:rsidR="00DA2178" w:rsidRDefault="00000000">
      <w:pPr>
        <w:pStyle w:val="2"/>
        <w:rPr>
          <w:rFonts w:ascii="宋体" w:hAnsi="宋体" w:cs="宋体"/>
          <w:sz w:val="28"/>
          <w:szCs w:val="28"/>
        </w:rPr>
      </w:pPr>
      <w:r>
        <w:rPr>
          <w:rFonts w:ascii="宋体" w:hAnsi="宋体" w:cs="宋体" w:hint="eastAsia"/>
          <w:sz w:val="28"/>
          <w:szCs w:val="28"/>
        </w:rPr>
        <w:t>2.2 基于电力流的碳排放计量体系</w:t>
      </w:r>
    </w:p>
    <w:p w:rsidR="00DA2178" w:rsidRDefault="00000000">
      <w:pPr>
        <w:spacing w:line="360" w:lineRule="auto"/>
        <w:ind w:firstLineChars="200" w:firstLine="480"/>
        <w:rPr>
          <w:rFonts w:ascii="宋体" w:hAnsi="宋体" w:cs="宋体"/>
          <w:sz w:val="24"/>
          <w:szCs w:val="24"/>
        </w:rPr>
      </w:pPr>
      <w:r>
        <w:rPr>
          <w:rFonts w:ascii="宋体" w:hAnsi="宋体" w:cs="宋体" w:hint="eastAsia"/>
          <w:sz w:val="24"/>
          <w:szCs w:val="24"/>
        </w:rPr>
        <w:t>电力生产侧的碳排放是由发电厂直接排入大气。电力消费侧的碳排放是由发电厂产生，经电网输配电线路流入电力消费侧。</w:t>
      </w:r>
    </w:p>
    <w:p w:rsidR="00DA2178" w:rsidRDefault="00000000">
      <w:pPr>
        <w:spacing w:line="360" w:lineRule="auto"/>
        <w:ind w:firstLineChars="200" w:firstLine="480"/>
        <w:rPr>
          <w:rFonts w:ascii="宋体" w:hAnsi="宋体" w:cs="宋体"/>
          <w:sz w:val="24"/>
          <w:szCs w:val="24"/>
        </w:rPr>
      </w:pPr>
      <w:r>
        <w:rPr>
          <w:rFonts w:ascii="宋体" w:hAnsi="宋体" w:cs="宋体" w:hint="eastAsia"/>
          <w:sz w:val="24"/>
          <w:szCs w:val="24"/>
        </w:rPr>
        <w:t>基于电力流的碳排放计量方法是通过建立准确追踪电力生产侧碳排放流向电力消费侧的数学模型，将电力生产侧碳排放公平分摊到电网侧和消费侧，实现电网侧和消费侧的电力碳排放的准确计量。</w:t>
      </w:r>
    </w:p>
    <w:p w:rsidR="00DA2178" w:rsidRDefault="00000000">
      <w:pPr>
        <w:spacing w:line="360" w:lineRule="auto"/>
        <w:ind w:firstLineChars="200" w:firstLine="480"/>
        <w:rPr>
          <w:rFonts w:ascii="宋体" w:hAnsi="宋体" w:cs="宋体"/>
          <w:sz w:val="24"/>
          <w:szCs w:val="24"/>
        </w:rPr>
      </w:pPr>
      <w:r>
        <w:rPr>
          <w:rFonts w:ascii="宋体" w:hAnsi="宋体" w:cs="宋体" w:hint="eastAsia"/>
          <w:sz w:val="24"/>
          <w:szCs w:val="24"/>
        </w:rPr>
        <w:t>基于电力流的碳排放计量体系包括碳计量模型、碳计量设备和碳计量系统。</w:t>
      </w:r>
    </w:p>
    <w:p w:rsidR="00DA2178" w:rsidRDefault="00000000">
      <w:pPr>
        <w:pStyle w:val="2"/>
        <w:rPr>
          <w:rFonts w:ascii="宋体" w:hAnsi="宋体" w:cs="宋体"/>
          <w:sz w:val="28"/>
          <w:szCs w:val="28"/>
        </w:rPr>
      </w:pPr>
      <w:r>
        <w:rPr>
          <w:rFonts w:ascii="宋体" w:hAnsi="宋体" w:cs="宋体" w:hint="eastAsia"/>
          <w:sz w:val="28"/>
          <w:szCs w:val="28"/>
        </w:rPr>
        <w:t>2.3 基于电力流的碳排放计量模型</w:t>
      </w:r>
    </w:p>
    <w:p w:rsidR="00DA2178" w:rsidRDefault="00000000">
      <w:pPr>
        <w:spacing w:line="360" w:lineRule="auto"/>
        <w:ind w:firstLineChars="250" w:firstLine="600"/>
        <w:rPr>
          <w:rFonts w:ascii="宋体" w:hAnsi="宋体" w:cs="宋体"/>
          <w:sz w:val="24"/>
          <w:szCs w:val="24"/>
        </w:rPr>
      </w:pPr>
      <w:r>
        <w:rPr>
          <w:rFonts w:ascii="宋体" w:hAnsi="宋体" w:cs="宋体"/>
          <w:sz w:val="24"/>
          <w:szCs w:val="24"/>
        </w:rPr>
        <w:t>文件规定了</w:t>
      </w:r>
      <w:r>
        <w:rPr>
          <w:rFonts w:ascii="宋体" w:hAnsi="宋体" w:cs="宋体" w:hint="eastAsia"/>
          <w:sz w:val="24"/>
          <w:szCs w:val="24"/>
        </w:rPr>
        <w:t>发电侧上网关口碳排放计量模型、输配电线路碳排放计量模型和负荷侧碳排放计量模型。</w:t>
      </w:r>
    </w:p>
    <w:p w:rsidR="00DA2178" w:rsidRDefault="00000000">
      <w:pPr>
        <w:pStyle w:val="2"/>
        <w:rPr>
          <w:rFonts w:ascii="宋体" w:hAnsi="宋体" w:cs="宋体"/>
          <w:sz w:val="28"/>
          <w:szCs w:val="28"/>
        </w:rPr>
      </w:pPr>
      <w:r>
        <w:rPr>
          <w:rFonts w:ascii="宋体" w:hAnsi="宋体" w:cs="宋体" w:hint="eastAsia"/>
          <w:sz w:val="28"/>
          <w:szCs w:val="28"/>
        </w:rPr>
        <w:t>三、 主要试验（或验证）情况</w:t>
      </w:r>
    </w:p>
    <w:p w:rsidR="00DA2178" w:rsidRDefault="00000000">
      <w:pPr>
        <w:spacing w:line="360" w:lineRule="auto"/>
        <w:ind w:firstLineChars="200" w:firstLine="480"/>
        <w:rPr>
          <w:rFonts w:ascii="Times New Roman"/>
          <w:sz w:val="24"/>
          <w:szCs w:val="24"/>
        </w:rPr>
      </w:pPr>
      <w:r>
        <w:rPr>
          <w:rFonts w:ascii="Times New Roman" w:hint="eastAsia"/>
          <w:sz w:val="24"/>
          <w:szCs w:val="24"/>
        </w:rPr>
        <w:t>本文件在附录</w:t>
      </w:r>
      <w:r>
        <w:rPr>
          <w:rFonts w:ascii="Times New Roman"/>
          <w:sz w:val="24"/>
          <w:szCs w:val="24"/>
        </w:rPr>
        <w:t>B</w:t>
      </w:r>
      <w:r>
        <w:rPr>
          <w:rFonts w:ascii="Times New Roman" w:hint="eastAsia"/>
          <w:sz w:val="24"/>
          <w:szCs w:val="24"/>
        </w:rPr>
        <w:t>中采用</w:t>
      </w:r>
      <w:r>
        <w:rPr>
          <w:rFonts w:ascii="Times New Roman" w:hint="eastAsia"/>
          <w:sz w:val="24"/>
          <w:szCs w:val="24"/>
        </w:rPr>
        <w:t>P</w:t>
      </w:r>
      <w:r>
        <w:rPr>
          <w:rFonts w:ascii="Times New Roman"/>
          <w:sz w:val="24"/>
          <w:szCs w:val="24"/>
        </w:rPr>
        <w:t>JM-5</w:t>
      </w:r>
      <w:r>
        <w:rPr>
          <w:rFonts w:ascii="Times New Roman" w:hint="eastAsia"/>
          <w:sz w:val="24"/>
          <w:szCs w:val="24"/>
        </w:rPr>
        <w:t>节点系统作为算例，验证了文件规定的计量模型。</w:t>
      </w:r>
    </w:p>
    <w:p w:rsidR="00DA2178" w:rsidRDefault="00000000">
      <w:pPr>
        <w:pStyle w:val="2"/>
        <w:rPr>
          <w:rFonts w:ascii="宋体" w:hAnsi="宋体" w:cs="宋体"/>
          <w:sz w:val="28"/>
          <w:szCs w:val="28"/>
        </w:rPr>
      </w:pPr>
      <w:r>
        <w:rPr>
          <w:rFonts w:ascii="宋体" w:hAnsi="宋体" w:cs="宋体" w:hint="eastAsia"/>
          <w:sz w:val="28"/>
          <w:szCs w:val="28"/>
        </w:rPr>
        <w:t>四、 标准涉及专利情况</w:t>
      </w:r>
    </w:p>
    <w:p w:rsidR="00DA2178" w:rsidRDefault="00000000">
      <w:pPr>
        <w:spacing w:line="360" w:lineRule="auto"/>
        <w:ind w:firstLineChars="200" w:firstLine="480"/>
        <w:rPr>
          <w:sz w:val="24"/>
          <w:szCs w:val="24"/>
        </w:rPr>
      </w:pPr>
      <w:r>
        <w:rPr>
          <w:rFonts w:hint="eastAsia"/>
          <w:sz w:val="24"/>
          <w:szCs w:val="24"/>
        </w:rPr>
        <w:t>本文件不涉及任何专利问题</w:t>
      </w:r>
      <w:r>
        <w:rPr>
          <w:sz w:val="24"/>
          <w:szCs w:val="24"/>
        </w:rPr>
        <w:t>。</w:t>
      </w:r>
    </w:p>
    <w:p w:rsidR="00DA2178" w:rsidRDefault="00000000">
      <w:pPr>
        <w:pStyle w:val="2"/>
        <w:rPr>
          <w:rFonts w:ascii="宋体" w:hAnsi="宋体" w:cs="宋体"/>
          <w:sz w:val="28"/>
          <w:szCs w:val="28"/>
        </w:rPr>
      </w:pPr>
      <w:r>
        <w:rPr>
          <w:rFonts w:ascii="宋体" w:hAnsi="宋体" w:cs="宋体" w:hint="eastAsia"/>
          <w:sz w:val="28"/>
          <w:szCs w:val="28"/>
        </w:rPr>
        <w:lastRenderedPageBreak/>
        <w:t>五、 预期达到的社会效益、对产业发展的作用</w:t>
      </w:r>
    </w:p>
    <w:p w:rsidR="00DA2178" w:rsidRDefault="00000000">
      <w:pPr>
        <w:spacing w:line="360" w:lineRule="auto"/>
        <w:ind w:firstLineChars="250" w:firstLine="600"/>
        <w:rPr>
          <w:sz w:val="24"/>
          <w:szCs w:val="24"/>
        </w:rPr>
      </w:pPr>
      <w:r>
        <w:rPr>
          <w:rFonts w:hint="eastAsia"/>
          <w:sz w:val="24"/>
          <w:szCs w:val="24"/>
        </w:rPr>
        <w:t>能源领域是我国二氧化碳排放的最大源头。在能源领域中，电力行业碳排放约占</w:t>
      </w:r>
      <w:r>
        <w:rPr>
          <w:rFonts w:hint="eastAsia"/>
          <w:sz w:val="24"/>
          <w:szCs w:val="24"/>
        </w:rPr>
        <w:t>42.5%</w:t>
      </w:r>
      <w:r>
        <w:rPr>
          <w:rFonts w:hint="eastAsia"/>
          <w:sz w:val="24"/>
          <w:szCs w:val="24"/>
        </w:rPr>
        <w:t>，即占全社会二氧化碳排放总量的</w:t>
      </w:r>
      <w:r>
        <w:rPr>
          <w:rFonts w:hint="eastAsia"/>
          <w:sz w:val="24"/>
          <w:szCs w:val="24"/>
        </w:rPr>
        <w:t>37.4%</w:t>
      </w:r>
      <w:r>
        <w:rPr>
          <w:rFonts w:hint="eastAsia"/>
          <w:sz w:val="24"/>
          <w:szCs w:val="24"/>
        </w:rPr>
        <w:t>。随着全社会电气化水平的提升，未来电力行业碳排放的占比将持续增大。因此，践行双碳战略，能源领域是主战场，电力行业是主力军。在发电侧至用户侧的电力能量流传递过程中，伴随着碳排放流的传递。本标准规定了基于电力流的碳排放计量体系和计量模型，适用于电网企业和电力用户的碳排放计量，标准的进一步推广应用为发电、电网和用电企业制定减碳措施、政府制定碳排放分摊政策以及碳交易市场运营等提供碳计量数据支撑，这与</w:t>
      </w:r>
      <w:r>
        <w:rPr>
          <w:rFonts w:hint="eastAsia"/>
          <w:sz w:val="24"/>
          <w:szCs w:val="24"/>
        </w:rPr>
        <w:t>2021</w:t>
      </w:r>
      <w:r>
        <w:rPr>
          <w:rFonts w:hint="eastAsia"/>
          <w:sz w:val="24"/>
          <w:szCs w:val="24"/>
        </w:rPr>
        <w:t>年底国发【</w:t>
      </w:r>
      <w:r>
        <w:rPr>
          <w:rFonts w:hint="eastAsia"/>
          <w:sz w:val="24"/>
          <w:szCs w:val="24"/>
        </w:rPr>
        <w:t>2021</w:t>
      </w:r>
      <w:r>
        <w:rPr>
          <w:rFonts w:hint="eastAsia"/>
          <w:sz w:val="24"/>
          <w:szCs w:val="24"/>
        </w:rPr>
        <w:t>】</w:t>
      </w:r>
      <w:r>
        <w:rPr>
          <w:rFonts w:hint="eastAsia"/>
          <w:sz w:val="24"/>
          <w:szCs w:val="24"/>
        </w:rPr>
        <w:t>37</w:t>
      </w:r>
      <w:r>
        <w:rPr>
          <w:rFonts w:hint="eastAsia"/>
          <w:sz w:val="24"/>
          <w:szCs w:val="24"/>
        </w:rPr>
        <w:t>号“国务院关于印发计量发展规划（</w:t>
      </w:r>
      <w:r>
        <w:rPr>
          <w:rFonts w:hint="eastAsia"/>
          <w:sz w:val="24"/>
          <w:szCs w:val="24"/>
        </w:rPr>
        <w:t>2021-2035</w:t>
      </w:r>
      <w:r>
        <w:rPr>
          <w:rFonts w:hint="eastAsia"/>
          <w:sz w:val="24"/>
          <w:szCs w:val="24"/>
        </w:rPr>
        <w:t>）的通知”中强调的计量需求和研究方向一致，助力碳排放计量体系建设。</w:t>
      </w:r>
    </w:p>
    <w:p w:rsidR="00DA2178" w:rsidRDefault="00000000">
      <w:pPr>
        <w:pStyle w:val="2"/>
        <w:rPr>
          <w:rFonts w:ascii="宋体" w:hAnsi="宋体" w:cs="宋体"/>
          <w:sz w:val="28"/>
          <w:szCs w:val="28"/>
        </w:rPr>
      </w:pPr>
      <w:r>
        <w:rPr>
          <w:rFonts w:ascii="宋体" w:hAnsi="宋体" w:cs="宋体" w:hint="eastAsia"/>
          <w:sz w:val="28"/>
          <w:szCs w:val="28"/>
        </w:rPr>
        <w:t>六、与国际、国外同类标准水平的对比情况</w:t>
      </w:r>
    </w:p>
    <w:p w:rsidR="00DA2178"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2015</w:t>
      </w:r>
      <w:r>
        <w:rPr>
          <w:rFonts w:ascii="Times New Roman" w:hAnsi="Times New Roman" w:hint="eastAsia"/>
          <w:sz w:val="24"/>
          <w:szCs w:val="24"/>
        </w:rPr>
        <w:t>年发布的</w:t>
      </w:r>
      <w:r>
        <w:rPr>
          <w:rFonts w:ascii="Times New Roman" w:hAnsi="Times New Roman" w:hint="eastAsia"/>
          <w:sz w:val="24"/>
          <w:szCs w:val="24"/>
        </w:rPr>
        <w:t>GB/T 32151.1-2015</w:t>
      </w:r>
      <w:r>
        <w:rPr>
          <w:rFonts w:ascii="Times New Roman" w:hAnsi="Times New Roman" w:hint="eastAsia"/>
          <w:sz w:val="24"/>
          <w:szCs w:val="24"/>
        </w:rPr>
        <w:t>等</w:t>
      </w:r>
      <w:r>
        <w:rPr>
          <w:rFonts w:ascii="Times New Roman" w:hAnsi="Times New Roman" w:hint="eastAsia"/>
          <w:sz w:val="24"/>
          <w:szCs w:val="24"/>
        </w:rPr>
        <w:t>10</w:t>
      </w:r>
      <w:r>
        <w:rPr>
          <w:rFonts w:ascii="Times New Roman" w:hAnsi="Times New Roman" w:hint="eastAsia"/>
          <w:sz w:val="24"/>
          <w:szCs w:val="24"/>
        </w:rPr>
        <w:t>项标准，规定了发电企业、电网企业、镁冶炼企业等</w:t>
      </w:r>
      <w:r>
        <w:rPr>
          <w:rFonts w:ascii="Times New Roman" w:hAnsi="Times New Roman" w:hint="eastAsia"/>
          <w:sz w:val="24"/>
          <w:szCs w:val="24"/>
        </w:rPr>
        <w:t>10</w:t>
      </w:r>
      <w:r>
        <w:rPr>
          <w:rFonts w:ascii="Times New Roman" w:hAnsi="Times New Roman" w:hint="eastAsia"/>
          <w:sz w:val="24"/>
          <w:szCs w:val="24"/>
        </w:rPr>
        <w:t>类企业的温室气体排放核算与报告要求。依据前述标准的规定，企业消耗电力所对应的二氧化碳排放量等于电量乘以区域电网年平均供电排放因子。基于此方法得到的碳排放量偏宏观，颗粒度太粗，无法实时和准确的量化发电侧、电网侧和用户侧各环节的碳排放量，无法有效支撑碳达峰、碳中和具体方案的实施。</w:t>
      </w:r>
    </w:p>
    <w:p w:rsidR="00DA2178" w:rsidRDefault="00000000">
      <w:pPr>
        <w:pStyle w:val="2"/>
        <w:rPr>
          <w:rFonts w:ascii="宋体" w:hAnsi="宋体" w:cs="宋体"/>
          <w:sz w:val="28"/>
          <w:szCs w:val="28"/>
        </w:rPr>
      </w:pPr>
      <w:r>
        <w:rPr>
          <w:rFonts w:ascii="宋体" w:hAnsi="宋体" w:cs="宋体" w:hint="eastAsia"/>
          <w:sz w:val="28"/>
          <w:szCs w:val="28"/>
        </w:rPr>
        <w:t>七、在标准体系中的位置，与现行相关法律、法规、规章及相关标准，特别是强制性标准的协调性</w:t>
      </w:r>
    </w:p>
    <w:p w:rsidR="00DA2178" w:rsidRDefault="00000000">
      <w:pPr>
        <w:spacing w:line="360" w:lineRule="auto"/>
        <w:ind w:firstLineChars="200" w:firstLine="480"/>
        <w:rPr>
          <w:rFonts w:ascii="Times New Roman" w:hAnsi="Times New Roman"/>
          <w:sz w:val="24"/>
          <w:szCs w:val="24"/>
        </w:rPr>
      </w:pPr>
      <w:r>
        <w:rPr>
          <w:rFonts w:hint="eastAsia"/>
          <w:sz w:val="24"/>
          <w:szCs w:val="24"/>
        </w:rPr>
        <w:t>与相关技术领域的国家现行法律、法规和政策保持一致。</w:t>
      </w:r>
      <w:r>
        <w:rPr>
          <w:rFonts w:ascii="Times New Roman" w:hAnsi="Times New Roman"/>
          <w:sz w:val="24"/>
          <w:szCs w:val="24"/>
        </w:rPr>
        <w:t>与现有标准、制定中的标准没有矛盾。</w:t>
      </w:r>
    </w:p>
    <w:p w:rsidR="00DA2178" w:rsidRDefault="00000000">
      <w:pPr>
        <w:pStyle w:val="2"/>
        <w:rPr>
          <w:rFonts w:ascii="宋体" w:hAnsi="宋体" w:cs="宋体"/>
          <w:sz w:val="28"/>
          <w:szCs w:val="28"/>
        </w:rPr>
      </w:pPr>
      <w:r>
        <w:rPr>
          <w:rFonts w:ascii="宋体" w:hAnsi="宋体" w:cs="宋体" w:hint="eastAsia"/>
          <w:sz w:val="28"/>
          <w:szCs w:val="28"/>
        </w:rPr>
        <w:t>八、标准性质的重大分歧意见的处理经过和依据</w:t>
      </w:r>
    </w:p>
    <w:p w:rsidR="00DA2178" w:rsidRDefault="00000000">
      <w:pPr>
        <w:spacing w:line="360" w:lineRule="auto"/>
        <w:ind w:firstLineChars="200" w:firstLine="480"/>
        <w:rPr>
          <w:rFonts w:ascii="Times New Roman" w:hAnsi="Times New Roman"/>
          <w:sz w:val="24"/>
          <w:szCs w:val="24"/>
          <w:lang w:val="zh-CN"/>
        </w:rPr>
      </w:pPr>
      <w:r>
        <w:rPr>
          <w:rFonts w:ascii="Times New Roman" w:hAnsi="Times New Roman"/>
          <w:sz w:val="24"/>
          <w:szCs w:val="24"/>
          <w:lang w:val="zh-CN"/>
        </w:rPr>
        <w:t>无。</w:t>
      </w:r>
    </w:p>
    <w:p w:rsidR="00DA2178" w:rsidRDefault="00000000">
      <w:pPr>
        <w:pStyle w:val="2"/>
        <w:rPr>
          <w:rFonts w:ascii="宋体" w:hAnsi="宋体" w:cs="宋体"/>
          <w:sz w:val="28"/>
          <w:szCs w:val="28"/>
        </w:rPr>
      </w:pPr>
      <w:r>
        <w:rPr>
          <w:rFonts w:ascii="宋体" w:hAnsi="宋体" w:cs="宋体" w:hint="eastAsia"/>
          <w:sz w:val="28"/>
          <w:szCs w:val="28"/>
        </w:rPr>
        <w:lastRenderedPageBreak/>
        <w:t>九、标准性质的建议说明</w:t>
      </w:r>
    </w:p>
    <w:p w:rsidR="00DA2178" w:rsidRDefault="00000000">
      <w:pPr>
        <w:spacing w:line="400" w:lineRule="exact"/>
        <w:ind w:firstLineChars="200" w:firstLine="480"/>
        <w:rPr>
          <w:rFonts w:ascii="Times New Roman" w:hAnsi="Times New Roman"/>
          <w:sz w:val="24"/>
          <w:szCs w:val="24"/>
        </w:rPr>
      </w:pPr>
      <w:r>
        <w:rPr>
          <w:rFonts w:ascii="Times New Roman" w:hAnsi="Times New Roman" w:hint="eastAsia"/>
          <w:sz w:val="24"/>
          <w:szCs w:val="24"/>
        </w:rPr>
        <w:t>本文件为推荐性标准，旨在为基于电力流的碳排放计量提供规范性依据，但不强制执行。</w:t>
      </w:r>
    </w:p>
    <w:p w:rsidR="00DA2178" w:rsidRDefault="00000000">
      <w:pPr>
        <w:pStyle w:val="2"/>
        <w:rPr>
          <w:rFonts w:ascii="宋体" w:hAnsi="宋体" w:cs="宋体"/>
          <w:sz w:val="28"/>
          <w:szCs w:val="28"/>
        </w:rPr>
      </w:pPr>
      <w:r>
        <w:rPr>
          <w:rFonts w:ascii="宋体" w:hAnsi="宋体" w:cs="宋体" w:hint="eastAsia"/>
          <w:sz w:val="28"/>
          <w:szCs w:val="28"/>
        </w:rPr>
        <w:t>十、贯彻标准的要求和措施建议</w:t>
      </w:r>
    </w:p>
    <w:p w:rsidR="00DA2178" w:rsidRDefault="00000000">
      <w:pPr>
        <w:spacing w:line="600" w:lineRule="exact"/>
        <w:rPr>
          <w:rFonts w:ascii="Times New Roman" w:hAnsi="Times New Roman"/>
          <w:sz w:val="24"/>
          <w:szCs w:val="24"/>
          <w:lang w:val="zh-CN"/>
        </w:rPr>
      </w:pPr>
      <w:r>
        <w:rPr>
          <w:rFonts w:ascii="Times New Roman" w:hAnsi="Times New Roman" w:hint="eastAsia"/>
          <w:sz w:val="24"/>
          <w:szCs w:val="24"/>
        </w:rPr>
        <w:t xml:space="preserve">    </w:t>
      </w:r>
      <w:r>
        <w:rPr>
          <w:rFonts w:ascii="Times New Roman" w:hAnsi="Times New Roman"/>
          <w:sz w:val="24"/>
          <w:szCs w:val="24"/>
          <w:lang w:val="zh-CN"/>
        </w:rPr>
        <w:t>无。</w:t>
      </w:r>
    </w:p>
    <w:p w:rsidR="00DA2178" w:rsidRDefault="00000000">
      <w:pPr>
        <w:pStyle w:val="2"/>
        <w:rPr>
          <w:rFonts w:ascii="宋体" w:hAnsi="宋体" w:cs="宋体"/>
          <w:sz w:val="28"/>
          <w:szCs w:val="28"/>
        </w:rPr>
      </w:pPr>
      <w:r>
        <w:rPr>
          <w:rFonts w:ascii="宋体" w:hAnsi="宋体" w:cs="宋体" w:hint="eastAsia"/>
          <w:sz w:val="28"/>
          <w:szCs w:val="28"/>
        </w:rPr>
        <w:t>十一、废止现行相关标准的建议</w:t>
      </w:r>
    </w:p>
    <w:p w:rsidR="00DA2178" w:rsidRDefault="00000000">
      <w:pPr>
        <w:spacing w:line="600" w:lineRule="exact"/>
        <w:rPr>
          <w:rFonts w:ascii="黑体" w:eastAsia="黑体" w:hAnsi="黑体" w:cs="黑体"/>
          <w:b/>
          <w:bCs/>
          <w:sz w:val="24"/>
          <w:szCs w:val="24"/>
        </w:rPr>
      </w:pPr>
      <w:r>
        <w:rPr>
          <w:rFonts w:ascii="宋体" w:hAnsi="宋体" w:cs="宋体" w:hint="eastAsia"/>
          <w:sz w:val="24"/>
          <w:szCs w:val="24"/>
        </w:rPr>
        <w:t xml:space="preserve">    无。</w:t>
      </w:r>
    </w:p>
    <w:p w:rsidR="00DA2178" w:rsidRDefault="00000000">
      <w:pPr>
        <w:pStyle w:val="2"/>
        <w:rPr>
          <w:rFonts w:ascii="宋体" w:hAnsi="宋体" w:cs="宋体"/>
          <w:sz w:val="28"/>
          <w:szCs w:val="28"/>
          <w:lang w:val="zh-CN"/>
        </w:rPr>
      </w:pPr>
      <w:r>
        <w:rPr>
          <w:rFonts w:ascii="宋体" w:hAnsi="宋体" w:cs="宋体" w:hint="eastAsia"/>
          <w:sz w:val="28"/>
          <w:szCs w:val="28"/>
        </w:rPr>
        <w:t>十二、</w:t>
      </w:r>
      <w:r>
        <w:rPr>
          <w:rFonts w:ascii="宋体" w:hAnsi="宋体" w:cs="宋体" w:hint="eastAsia"/>
          <w:sz w:val="28"/>
          <w:szCs w:val="28"/>
          <w:lang w:val="zh-CN"/>
        </w:rPr>
        <w:t>其他予以说明的事项</w:t>
      </w:r>
    </w:p>
    <w:p w:rsidR="00DA2178" w:rsidRDefault="00000000">
      <w:pPr>
        <w:spacing w:line="360" w:lineRule="auto"/>
        <w:ind w:firstLineChars="200" w:firstLine="480"/>
        <w:rPr>
          <w:sz w:val="24"/>
          <w:szCs w:val="24"/>
          <w:lang w:val="zh-CN"/>
        </w:rPr>
      </w:pPr>
      <w:r>
        <w:rPr>
          <w:rFonts w:ascii="宋体" w:hAnsi="宋体" w:cs="宋体" w:hint="eastAsia"/>
          <w:sz w:val="24"/>
          <w:szCs w:val="24"/>
        </w:rPr>
        <w:t>在第一次工作组会议上，工作组对标准草案稿的标准化对象，标准结构进行了认真、细致讨论，工作组认为，标准的结构相比于指南更接近方法标准，因此工作组将标准更名。原标准名称“基于电力流的碳排放计量 第1部分：模型指南”修改为“基于电力流的碳排放计量 第1部分：计量模型”</w:t>
      </w:r>
      <w:r>
        <w:rPr>
          <w:rFonts w:ascii="宋体" w:hAnsi="宋体" w:cs="宋体" w:hint="eastAsia"/>
          <w:sz w:val="24"/>
          <w:szCs w:val="24"/>
          <w:lang w:val="zh-CN"/>
        </w:rPr>
        <w:t>。</w:t>
      </w:r>
    </w:p>
    <w:sectPr w:rsidR="00DA2178">
      <w:footerReference w:type="default" r:id="rId7"/>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C541A" w:rsidRDefault="00EC541A">
      <w:r>
        <w:separator/>
      </w:r>
    </w:p>
  </w:endnote>
  <w:endnote w:type="continuationSeparator" w:id="0">
    <w:p w:rsidR="00EC541A" w:rsidRDefault="00EC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A2178" w:rsidRDefault="00000000">
    <w:pPr>
      <w:pStyle w:val="ac"/>
      <w:jc w:val="center"/>
    </w:pPr>
    <w:r>
      <w:fldChar w:fldCharType="begin"/>
    </w:r>
    <w:r>
      <w:instrText>PAGE   \* MERGEFORMAT</w:instrText>
    </w:r>
    <w:r>
      <w:fldChar w:fldCharType="separate"/>
    </w:r>
    <w:r>
      <w:t>3</w:t>
    </w:r>
    <w:r>
      <w:fldChar w:fldCharType="end"/>
    </w:r>
  </w:p>
  <w:p w:rsidR="00DA2178" w:rsidRDefault="00DA217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C541A" w:rsidRDefault="00EC541A">
      <w:r>
        <w:separator/>
      </w:r>
    </w:p>
  </w:footnote>
  <w:footnote w:type="continuationSeparator" w:id="0">
    <w:p w:rsidR="00EC541A" w:rsidRDefault="00EC5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1"/>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414813874">
    <w:abstractNumId w:val="0"/>
  </w:num>
  <w:num w:numId="2" w16cid:durableId="6646268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E2ZmIwNmJmZTI5ZWNhNTI3M2U2MzliNWE3ZmM3MWEifQ=="/>
  </w:docVars>
  <w:rsids>
    <w:rsidRoot w:val="00C07FD7"/>
    <w:rsid w:val="000125B6"/>
    <w:rsid w:val="00021860"/>
    <w:rsid w:val="00021AD1"/>
    <w:rsid w:val="00023888"/>
    <w:rsid w:val="00026950"/>
    <w:rsid w:val="00026A6A"/>
    <w:rsid w:val="000327DB"/>
    <w:rsid w:val="00032CEB"/>
    <w:rsid w:val="000342AE"/>
    <w:rsid w:val="00035ABD"/>
    <w:rsid w:val="00035D6A"/>
    <w:rsid w:val="00041DA0"/>
    <w:rsid w:val="00043280"/>
    <w:rsid w:val="000445C2"/>
    <w:rsid w:val="00044EBD"/>
    <w:rsid w:val="00053DD0"/>
    <w:rsid w:val="00056E08"/>
    <w:rsid w:val="00060C0C"/>
    <w:rsid w:val="000746BA"/>
    <w:rsid w:val="00076F33"/>
    <w:rsid w:val="00091438"/>
    <w:rsid w:val="000929A1"/>
    <w:rsid w:val="00097BE9"/>
    <w:rsid w:val="000A0560"/>
    <w:rsid w:val="000A324F"/>
    <w:rsid w:val="000B0CCB"/>
    <w:rsid w:val="000B237C"/>
    <w:rsid w:val="000C3349"/>
    <w:rsid w:val="000C6A2D"/>
    <w:rsid w:val="000D17D0"/>
    <w:rsid w:val="000D4836"/>
    <w:rsid w:val="000D4CE1"/>
    <w:rsid w:val="000D7AD7"/>
    <w:rsid w:val="000E047B"/>
    <w:rsid w:val="000E2158"/>
    <w:rsid w:val="000F6655"/>
    <w:rsid w:val="0012193A"/>
    <w:rsid w:val="00131C05"/>
    <w:rsid w:val="001327F4"/>
    <w:rsid w:val="0013476B"/>
    <w:rsid w:val="00140FB8"/>
    <w:rsid w:val="00141B98"/>
    <w:rsid w:val="001446ED"/>
    <w:rsid w:val="00146EDD"/>
    <w:rsid w:val="00161356"/>
    <w:rsid w:val="00165275"/>
    <w:rsid w:val="0017562E"/>
    <w:rsid w:val="00183189"/>
    <w:rsid w:val="00184D4C"/>
    <w:rsid w:val="00192421"/>
    <w:rsid w:val="00192C8B"/>
    <w:rsid w:val="00194207"/>
    <w:rsid w:val="001A507A"/>
    <w:rsid w:val="001A5EBC"/>
    <w:rsid w:val="001B4E14"/>
    <w:rsid w:val="001B59D7"/>
    <w:rsid w:val="001C3ED8"/>
    <w:rsid w:val="001C5231"/>
    <w:rsid w:val="001C55ED"/>
    <w:rsid w:val="001D038D"/>
    <w:rsid w:val="001F7207"/>
    <w:rsid w:val="001F7AB4"/>
    <w:rsid w:val="002004B4"/>
    <w:rsid w:val="002004D0"/>
    <w:rsid w:val="00206A66"/>
    <w:rsid w:val="00210C5F"/>
    <w:rsid w:val="002145BD"/>
    <w:rsid w:val="00221BDC"/>
    <w:rsid w:val="00224108"/>
    <w:rsid w:val="00243479"/>
    <w:rsid w:val="00247BF2"/>
    <w:rsid w:val="002542CE"/>
    <w:rsid w:val="0026529F"/>
    <w:rsid w:val="00284FBA"/>
    <w:rsid w:val="00285508"/>
    <w:rsid w:val="002864C4"/>
    <w:rsid w:val="00286FDF"/>
    <w:rsid w:val="00292180"/>
    <w:rsid w:val="00293FB6"/>
    <w:rsid w:val="00294CF4"/>
    <w:rsid w:val="002A3B58"/>
    <w:rsid w:val="002A484B"/>
    <w:rsid w:val="002A6CD7"/>
    <w:rsid w:val="002B4C66"/>
    <w:rsid w:val="002C464D"/>
    <w:rsid w:val="002C4E91"/>
    <w:rsid w:val="002C769C"/>
    <w:rsid w:val="002E1DAF"/>
    <w:rsid w:val="002E2F23"/>
    <w:rsid w:val="002F02C5"/>
    <w:rsid w:val="002F3DF7"/>
    <w:rsid w:val="002F7CA0"/>
    <w:rsid w:val="0030109E"/>
    <w:rsid w:val="00307E6D"/>
    <w:rsid w:val="00310AD6"/>
    <w:rsid w:val="00311B24"/>
    <w:rsid w:val="00312657"/>
    <w:rsid w:val="00316AEB"/>
    <w:rsid w:val="00317C9F"/>
    <w:rsid w:val="0034542C"/>
    <w:rsid w:val="00345489"/>
    <w:rsid w:val="00351087"/>
    <w:rsid w:val="003604FE"/>
    <w:rsid w:val="00371A8E"/>
    <w:rsid w:val="0037225A"/>
    <w:rsid w:val="003736A6"/>
    <w:rsid w:val="00380C6C"/>
    <w:rsid w:val="003817FA"/>
    <w:rsid w:val="00381AA0"/>
    <w:rsid w:val="003823C7"/>
    <w:rsid w:val="003A084F"/>
    <w:rsid w:val="003A1A73"/>
    <w:rsid w:val="003A2E44"/>
    <w:rsid w:val="003B0E59"/>
    <w:rsid w:val="003B5A86"/>
    <w:rsid w:val="003C273A"/>
    <w:rsid w:val="003D40C4"/>
    <w:rsid w:val="003D52D5"/>
    <w:rsid w:val="003D587D"/>
    <w:rsid w:val="003D759D"/>
    <w:rsid w:val="003E1031"/>
    <w:rsid w:val="003E7257"/>
    <w:rsid w:val="003F5A3A"/>
    <w:rsid w:val="004001EF"/>
    <w:rsid w:val="00411CCA"/>
    <w:rsid w:val="00411EB8"/>
    <w:rsid w:val="0042301F"/>
    <w:rsid w:val="00426380"/>
    <w:rsid w:val="00426D41"/>
    <w:rsid w:val="00433F0D"/>
    <w:rsid w:val="004342AE"/>
    <w:rsid w:val="00453CFD"/>
    <w:rsid w:val="0046366A"/>
    <w:rsid w:val="00472477"/>
    <w:rsid w:val="00473EC6"/>
    <w:rsid w:val="00491AAF"/>
    <w:rsid w:val="00494341"/>
    <w:rsid w:val="00495729"/>
    <w:rsid w:val="004958A9"/>
    <w:rsid w:val="004A21DF"/>
    <w:rsid w:val="004A3E60"/>
    <w:rsid w:val="004B42FD"/>
    <w:rsid w:val="004D035F"/>
    <w:rsid w:val="004D25D8"/>
    <w:rsid w:val="004D6719"/>
    <w:rsid w:val="004E142A"/>
    <w:rsid w:val="004E5B62"/>
    <w:rsid w:val="004F77A2"/>
    <w:rsid w:val="004F7B35"/>
    <w:rsid w:val="005023D2"/>
    <w:rsid w:val="00504D78"/>
    <w:rsid w:val="00514919"/>
    <w:rsid w:val="0052574F"/>
    <w:rsid w:val="0053279D"/>
    <w:rsid w:val="0054263F"/>
    <w:rsid w:val="005453CA"/>
    <w:rsid w:val="00547862"/>
    <w:rsid w:val="005517EF"/>
    <w:rsid w:val="00551D13"/>
    <w:rsid w:val="0055341B"/>
    <w:rsid w:val="00554865"/>
    <w:rsid w:val="00560931"/>
    <w:rsid w:val="00576B8F"/>
    <w:rsid w:val="00580A71"/>
    <w:rsid w:val="00581791"/>
    <w:rsid w:val="00582A51"/>
    <w:rsid w:val="00596C29"/>
    <w:rsid w:val="005A0A0F"/>
    <w:rsid w:val="005A7101"/>
    <w:rsid w:val="005B04B9"/>
    <w:rsid w:val="005C3AC8"/>
    <w:rsid w:val="005D3277"/>
    <w:rsid w:val="005E1501"/>
    <w:rsid w:val="005E3C02"/>
    <w:rsid w:val="005E7D5D"/>
    <w:rsid w:val="005F1579"/>
    <w:rsid w:val="005F2E08"/>
    <w:rsid w:val="005F749E"/>
    <w:rsid w:val="005F79C2"/>
    <w:rsid w:val="00601078"/>
    <w:rsid w:val="00607AF6"/>
    <w:rsid w:val="00612AE7"/>
    <w:rsid w:val="00634184"/>
    <w:rsid w:val="00642FCC"/>
    <w:rsid w:val="00647254"/>
    <w:rsid w:val="00656F8B"/>
    <w:rsid w:val="00657FF9"/>
    <w:rsid w:val="00670EC7"/>
    <w:rsid w:val="0067132A"/>
    <w:rsid w:val="006771EB"/>
    <w:rsid w:val="0068048B"/>
    <w:rsid w:val="00680F1B"/>
    <w:rsid w:val="00685DCF"/>
    <w:rsid w:val="00686FDF"/>
    <w:rsid w:val="006B265E"/>
    <w:rsid w:val="006B3A9B"/>
    <w:rsid w:val="006C06FD"/>
    <w:rsid w:val="006E04C4"/>
    <w:rsid w:val="006E6D06"/>
    <w:rsid w:val="0070016D"/>
    <w:rsid w:val="007030BB"/>
    <w:rsid w:val="007109C3"/>
    <w:rsid w:val="00713107"/>
    <w:rsid w:val="007201B7"/>
    <w:rsid w:val="00721E6D"/>
    <w:rsid w:val="007320F6"/>
    <w:rsid w:val="00735D69"/>
    <w:rsid w:val="0074014F"/>
    <w:rsid w:val="00740307"/>
    <w:rsid w:val="00741613"/>
    <w:rsid w:val="00746B7B"/>
    <w:rsid w:val="00752B3F"/>
    <w:rsid w:val="007638AD"/>
    <w:rsid w:val="00775364"/>
    <w:rsid w:val="00781EEC"/>
    <w:rsid w:val="00782CFC"/>
    <w:rsid w:val="00783699"/>
    <w:rsid w:val="00792363"/>
    <w:rsid w:val="007932EA"/>
    <w:rsid w:val="007A0FB8"/>
    <w:rsid w:val="007A282E"/>
    <w:rsid w:val="007A39E9"/>
    <w:rsid w:val="007B25F6"/>
    <w:rsid w:val="007B6B4B"/>
    <w:rsid w:val="007B75E0"/>
    <w:rsid w:val="007C53A8"/>
    <w:rsid w:val="007D3FB3"/>
    <w:rsid w:val="007D4263"/>
    <w:rsid w:val="007D5CA9"/>
    <w:rsid w:val="007D773A"/>
    <w:rsid w:val="007E6051"/>
    <w:rsid w:val="007F37E2"/>
    <w:rsid w:val="007F438C"/>
    <w:rsid w:val="007F5B2B"/>
    <w:rsid w:val="007F5D9E"/>
    <w:rsid w:val="007F5EAD"/>
    <w:rsid w:val="00800EB7"/>
    <w:rsid w:val="00805DEA"/>
    <w:rsid w:val="00807BC7"/>
    <w:rsid w:val="00813009"/>
    <w:rsid w:val="0081723B"/>
    <w:rsid w:val="008261D3"/>
    <w:rsid w:val="00840377"/>
    <w:rsid w:val="0085109D"/>
    <w:rsid w:val="00857DB4"/>
    <w:rsid w:val="0086322F"/>
    <w:rsid w:val="008652F1"/>
    <w:rsid w:val="008A1B7C"/>
    <w:rsid w:val="008B5D3C"/>
    <w:rsid w:val="008B6F36"/>
    <w:rsid w:val="008C2741"/>
    <w:rsid w:val="008D51C7"/>
    <w:rsid w:val="008F1A3F"/>
    <w:rsid w:val="009040E1"/>
    <w:rsid w:val="00904D19"/>
    <w:rsid w:val="0091049B"/>
    <w:rsid w:val="00911E72"/>
    <w:rsid w:val="009123EA"/>
    <w:rsid w:val="00915B37"/>
    <w:rsid w:val="00916365"/>
    <w:rsid w:val="00923917"/>
    <w:rsid w:val="009303E4"/>
    <w:rsid w:val="0094073D"/>
    <w:rsid w:val="00950997"/>
    <w:rsid w:val="00951150"/>
    <w:rsid w:val="00952E56"/>
    <w:rsid w:val="0096265C"/>
    <w:rsid w:val="009649D1"/>
    <w:rsid w:val="00971FFA"/>
    <w:rsid w:val="009729E2"/>
    <w:rsid w:val="00980CC7"/>
    <w:rsid w:val="00983CE9"/>
    <w:rsid w:val="009909D4"/>
    <w:rsid w:val="009910D3"/>
    <w:rsid w:val="00997646"/>
    <w:rsid w:val="009D2B32"/>
    <w:rsid w:val="009D5316"/>
    <w:rsid w:val="009D539D"/>
    <w:rsid w:val="009D5E09"/>
    <w:rsid w:val="009D659E"/>
    <w:rsid w:val="009E3906"/>
    <w:rsid w:val="009E3D3C"/>
    <w:rsid w:val="009E541C"/>
    <w:rsid w:val="009F2FFA"/>
    <w:rsid w:val="009F4E4B"/>
    <w:rsid w:val="009F538F"/>
    <w:rsid w:val="00A00A02"/>
    <w:rsid w:val="00A10C43"/>
    <w:rsid w:val="00A141D8"/>
    <w:rsid w:val="00A1539C"/>
    <w:rsid w:val="00A218BA"/>
    <w:rsid w:val="00A37466"/>
    <w:rsid w:val="00A43FDA"/>
    <w:rsid w:val="00A45735"/>
    <w:rsid w:val="00A55416"/>
    <w:rsid w:val="00A577E2"/>
    <w:rsid w:val="00A62621"/>
    <w:rsid w:val="00A65029"/>
    <w:rsid w:val="00A73B4E"/>
    <w:rsid w:val="00A76F83"/>
    <w:rsid w:val="00A854F6"/>
    <w:rsid w:val="00A855B9"/>
    <w:rsid w:val="00A9442A"/>
    <w:rsid w:val="00AA02D0"/>
    <w:rsid w:val="00AA1F60"/>
    <w:rsid w:val="00AA53C6"/>
    <w:rsid w:val="00AB29A6"/>
    <w:rsid w:val="00AB4293"/>
    <w:rsid w:val="00AC2761"/>
    <w:rsid w:val="00AD128C"/>
    <w:rsid w:val="00AD3B06"/>
    <w:rsid w:val="00AF29E8"/>
    <w:rsid w:val="00AF2FC0"/>
    <w:rsid w:val="00B03E6A"/>
    <w:rsid w:val="00B0432B"/>
    <w:rsid w:val="00B04431"/>
    <w:rsid w:val="00B05335"/>
    <w:rsid w:val="00B07968"/>
    <w:rsid w:val="00B223D8"/>
    <w:rsid w:val="00B227F6"/>
    <w:rsid w:val="00B363A1"/>
    <w:rsid w:val="00B5376B"/>
    <w:rsid w:val="00B710A0"/>
    <w:rsid w:val="00B94948"/>
    <w:rsid w:val="00BA1248"/>
    <w:rsid w:val="00BB392C"/>
    <w:rsid w:val="00BC2A58"/>
    <w:rsid w:val="00BC463B"/>
    <w:rsid w:val="00BC4820"/>
    <w:rsid w:val="00BD2A6B"/>
    <w:rsid w:val="00BE01BA"/>
    <w:rsid w:val="00BF3D86"/>
    <w:rsid w:val="00C02B99"/>
    <w:rsid w:val="00C0676C"/>
    <w:rsid w:val="00C06773"/>
    <w:rsid w:val="00C07FD7"/>
    <w:rsid w:val="00C23C45"/>
    <w:rsid w:val="00C24F5C"/>
    <w:rsid w:val="00C26DC1"/>
    <w:rsid w:val="00C27F6A"/>
    <w:rsid w:val="00C303B6"/>
    <w:rsid w:val="00C35947"/>
    <w:rsid w:val="00C35DF7"/>
    <w:rsid w:val="00C43FDE"/>
    <w:rsid w:val="00C63018"/>
    <w:rsid w:val="00C63B25"/>
    <w:rsid w:val="00C70BED"/>
    <w:rsid w:val="00C76244"/>
    <w:rsid w:val="00C82E2D"/>
    <w:rsid w:val="00C85261"/>
    <w:rsid w:val="00CA29E3"/>
    <w:rsid w:val="00CA6EBE"/>
    <w:rsid w:val="00CA6F47"/>
    <w:rsid w:val="00CC7860"/>
    <w:rsid w:val="00CD163B"/>
    <w:rsid w:val="00CD43CB"/>
    <w:rsid w:val="00CD6C9A"/>
    <w:rsid w:val="00CF074D"/>
    <w:rsid w:val="00CF5406"/>
    <w:rsid w:val="00D108F4"/>
    <w:rsid w:val="00D17521"/>
    <w:rsid w:val="00D200D6"/>
    <w:rsid w:val="00D20E90"/>
    <w:rsid w:val="00D23634"/>
    <w:rsid w:val="00D24E58"/>
    <w:rsid w:val="00D45ECB"/>
    <w:rsid w:val="00D506CE"/>
    <w:rsid w:val="00D7033C"/>
    <w:rsid w:val="00D84706"/>
    <w:rsid w:val="00D85F2C"/>
    <w:rsid w:val="00D90933"/>
    <w:rsid w:val="00DA2178"/>
    <w:rsid w:val="00DB0013"/>
    <w:rsid w:val="00DB3454"/>
    <w:rsid w:val="00DC3630"/>
    <w:rsid w:val="00DD718B"/>
    <w:rsid w:val="00DD7EBE"/>
    <w:rsid w:val="00DE2825"/>
    <w:rsid w:val="00DF5125"/>
    <w:rsid w:val="00DF6A53"/>
    <w:rsid w:val="00DF6A54"/>
    <w:rsid w:val="00DF7DA3"/>
    <w:rsid w:val="00E00C17"/>
    <w:rsid w:val="00E025A9"/>
    <w:rsid w:val="00E07DFE"/>
    <w:rsid w:val="00E11A6F"/>
    <w:rsid w:val="00E166E6"/>
    <w:rsid w:val="00E1672C"/>
    <w:rsid w:val="00E42B81"/>
    <w:rsid w:val="00E47E34"/>
    <w:rsid w:val="00E50118"/>
    <w:rsid w:val="00E56F40"/>
    <w:rsid w:val="00E72BD3"/>
    <w:rsid w:val="00E74BFC"/>
    <w:rsid w:val="00E75D8B"/>
    <w:rsid w:val="00E77999"/>
    <w:rsid w:val="00E85B34"/>
    <w:rsid w:val="00E95999"/>
    <w:rsid w:val="00EA4114"/>
    <w:rsid w:val="00EA7644"/>
    <w:rsid w:val="00EB1602"/>
    <w:rsid w:val="00EB46D7"/>
    <w:rsid w:val="00EC44FB"/>
    <w:rsid w:val="00EC541A"/>
    <w:rsid w:val="00EC5B9D"/>
    <w:rsid w:val="00ED545D"/>
    <w:rsid w:val="00EE0B00"/>
    <w:rsid w:val="00F1078D"/>
    <w:rsid w:val="00F3640C"/>
    <w:rsid w:val="00F3754A"/>
    <w:rsid w:val="00F46547"/>
    <w:rsid w:val="00F5148D"/>
    <w:rsid w:val="00F51C56"/>
    <w:rsid w:val="00F52715"/>
    <w:rsid w:val="00F61FAD"/>
    <w:rsid w:val="00F64A7B"/>
    <w:rsid w:val="00F75495"/>
    <w:rsid w:val="00F842D4"/>
    <w:rsid w:val="00F9244E"/>
    <w:rsid w:val="00F937EE"/>
    <w:rsid w:val="00F96C35"/>
    <w:rsid w:val="00FA4159"/>
    <w:rsid w:val="00FB4480"/>
    <w:rsid w:val="00FD0271"/>
    <w:rsid w:val="00FD4FE4"/>
    <w:rsid w:val="00FE3DBE"/>
    <w:rsid w:val="00FF1806"/>
    <w:rsid w:val="00FF1975"/>
    <w:rsid w:val="00FF4757"/>
    <w:rsid w:val="00FF5E2B"/>
    <w:rsid w:val="00FF60E8"/>
    <w:rsid w:val="015D78C2"/>
    <w:rsid w:val="01F8525A"/>
    <w:rsid w:val="025A548B"/>
    <w:rsid w:val="0267744B"/>
    <w:rsid w:val="032B7CCC"/>
    <w:rsid w:val="03EA2651"/>
    <w:rsid w:val="03F3608F"/>
    <w:rsid w:val="03F73430"/>
    <w:rsid w:val="04B406C8"/>
    <w:rsid w:val="051A11D0"/>
    <w:rsid w:val="05B71053"/>
    <w:rsid w:val="07282BD2"/>
    <w:rsid w:val="073525D0"/>
    <w:rsid w:val="07933427"/>
    <w:rsid w:val="08591C04"/>
    <w:rsid w:val="090215F0"/>
    <w:rsid w:val="091229C5"/>
    <w:rsid w:val="093B6561"/>
    <w:rsid w:val="094B1189"/>
    <w:rsid w:val="09FF031A"/>
    <w:rsid w:val="0A9E3E3B"/>
    <w:rsid w:val="0AA00011"/>
    <w:rsid w:val="0B090D2C"/>
    <w:rsid w:val="0B957346"/>
    <w:rsid w:val="0C7A2535"/>
    <w:rsid w:val="0C7A6ED4"/>
    <w:rsid w:val="0D5F0B5D"/>
    <w:rsid w:val="0EE86A55"/>
    <w:rsid w:val="10DF406E"/>
    <w:rsid w:val="11936369"/>
    <w:rsid w:val="11E90053"/>
    <w:rsid w:val="121D4CDC"/>
    <w:rsid w:val="12BF58FF"/>
    <w:rsid w:val="12F24C1A"/>
    <w:rsid w:val="13176148"/>
    <w:rsid w:val="13760D4E"/>
    <w:rsid w:val="13767950"/>
    <w:rsid w:val="138959E3"/>
    <w:rsid w:val="14147A3B"/>
    <w:rsid w:val="15020CA3"/>
    <w:rsid w:val="16035571"/>
    <w:rsid w:val="162639CD"/>
    <w:rsid w:val="16436BBB"/>
    <w:rsid w:val="16BB474E"/>
    <w:rsid w:val="1707438F"/>
    <w:rsid w:val="180E1119"/>
    <w:rsid w:val="18393541"/>
    <w:rsid w:val="18A176F2"/>
    <w:rsid w:val="18A500EF"/>
    <w:rsid w:val="18C35161"/>
    <w:rsid w:val="195D7E33"/>
    <w:rsid w:val="198552B3"/>
    <w:rsid w:val="19970503"/>
    <w:rsid w:val="19C27D7F"/>
    <w:rsid w:val="1B002FFA"/>
    <w:rsid w:val="1B9907D4"/>
    <w:rsid w:val="1C0C749B"/>
    <w:rsid w:val="1C2A1FFA"/>
    <w:rsid w:val="1D7D286E"/>
    <w:rsid w:val="1DD31238"/>
    <w:rsid w:val="1F6736C2"/>
    <w:rsid w:val="1F783185"/>
    <w:rsid w:val="2071095A"/>
    <w:rsid w:val="20840C8E"/>
    <w:rsid w:val="208D6BBB"/>
    <w:rsid w:val="21D7460A"/>
    <w:rsid w:val="2216145C"/>
    <w:rsid w:val="223649D8"/>
    <w:rsid w:val="22A45836"/>
    <w:rsid w:val="22B34C76"/>
    <w:rsid w:val="23A75EEF"/>
    <w:rsid w:val="24481FE0"/>
    <w:rsid w:val="248764B8"/>
    <w:rsid w:val="24BC14A0"/>
    <w:rsid w:val="259768C4"/>
    <w:rsid w:val="25F36AC0"/>
    <w:rsid w:val="26A45E4D"/>
    <w:rsid w:val="26D20B6F"/>
    <w:rsid w:val="272711D4"/>
    <w:rsid w:val="27960276"/>
    <w:rsid w:val="29417347"/>
    <w:rsid w:val="29A852E1"/>
    <w:rsid w:val="29EB4EC7"/>
    <w:rsid w:val="2A2F41FE"/>
    <w:rsid w:val="2A4D3368"/>
    <w:rsid w:val="2A721FF8"/>
    <w:rsid w:val="2AD00BAA"/>
    <w:rsid w:val="2B187193"/>
    <w:rsid w:val="2B2C3011"/>
    <w:rsid w:val="2B59385C"/>
    <w:rsid w:val="2B882FE3"/>
    <w:rsid w:val="2BFE0E57"/>
    <w:rsid w:val="2C2F77CB"/>
    <w:rsid w:val="2C3A22F9"/>
    <w:rsid w:val="2CF74318"/>
    <w:rsid w:val="2CFB12C0"/>
    <w:rsid w:val="2E060545"/>
    <w:rsid w:val="2E1F36AF"/>
    <w:rsid w:val="2FFC7C4A"/>
    <w:rsid w:val="30305AEA"/>
    <w:rsid w:val="304B257B"/>
    <w:rsid w:val="30B0524B"/>
    <w:rsid w:val="30B11B46"/>
    <w:rsid w:val="323D5EBE"/>
    <w:rsid w:val="324C2EAE"/>
    <w:rsid w:val="32D166F5"/>
    <w:rsid w:val="339F6C4E"/>
    <w:rsid w:val="33DA06F7"/>
    <w:rsid w:val="340F48FC"/>
    <w:rsid w:val="34265515"/>
    <w:rsid w:val="343C1419"/>
    <w:rsid w:val="34AF2C20"/>
    <w:rsid w:val="34C11256"/>
    <w:rsid w:val="351202FF"/>
    <w:rsid w:val="35BC388F"/>
    <w:rsid w:val="3609360F"/>
    <w:rsid w:val="361B04A0"/>
    <w:rsid w:val="365C6355"/>
    <w:rsid w:val="36646E1F"/>
    <w:rsid w:val="36825C5E"/>
    <w:rsid w:val="36C55F68"/>
    <w:rsid w:val="37265173"/>
    <w:rsid w:val="37D35893"/>
    <w:rsid w:val="383E4EC8"/>
    <w:rsid w:val="385A6D44"/>
    <w:rsid w:val="386A7099"/>
    <w:rsid w:val="393E24A6"/>
    <w:rsid w:val="39A560B6"/>
    <w:rsid w:val="3A916FDA"/>
    <w:rsid w:val="3AA14BDA"/>
    <w:rsid w:val="3ACA4BAB"/>
    <w:rsid w:val="3B267C8A"/>
    <w:rsid w:val="3B946804"/>
    <w:rsid w:val="3BC86EC9"/>
    <w:rsid w:val="3BE6368D"/>
    <w:rsid w:val="3C523343"/>
    <w:rsid w:val="3C890106"/>
    <w:rsid w:val="3D1651F0"/>
    <w:rsid w:val="3DA40573"/>
    <w:rsid w:val="3DED4844"/>
    <w:rsid w:val="3EBE5E7C"/>
    <w:rsid w:val="3F5F3197"/>
    <w:rsid w:val="3FAD462D"/>
    <w:rsid w:val="3FEC7CB4"/>
    <w:rsid w:val="40687AEB"/>
    <w:rsid w:val="40DC4C45"/>
    <w:rsid w:val="41922BF1"/>
    <w:rsid w:val="41A20AF6"/>
    <w:rsid w:val="4218487C"/>
    <w:rsid w:val="42486ADC"/>
    <w:rsid w:val="426E4241"/>
    <w:rsid w:val="42F1542D"/>
    <w:rsid w:val="43085A8E"/>
    <w:rsid w:val="43251536"/>
    <w:rsid w:val="43CF576B"/>
    <w:rsid w:val="43D766A6"/>
    <w:rsid w:val="445E5402"/>
    <w:rsid w:val="446C1C00"/>
    <w:rsid w:val="44774F25"/>
    <w:rsid w:val="45841D41"/>
    <w:rsid w:val="458D7872"/>
    <w:rsid w:val="45A80E29"/>
    <w:rsid w:val="46387E1F"/>
    <w:rsid w:val="465E0411"/>
    <w:rsid w:val="46633C2B"/>
    <w:rsid w:val="46CB1754"/>
    <w:rsid w:val="46E771D4"/>
    <w:rsid w:val="47B411D0"/>
    <w:rsid w:val="47C066CC"/>
    <w:rsid w:val="47D55B81"/>
    <w:rsid w:val="48B6365C"/>
    <w:rsid w:val="48C64ECB"/>
    <w:rsid w:val="48FB6A8F"/>
    <w:rsid w:val="493A6E76"/>
    <w:rsid w:val="497F6E31"/>
    <w:rsid w:val="499D3D96"/>
    <w:rsid w:val="49C778F0"/>
    <w:rsid w:val="49DF1C3F"/>
    <w:rsid w:val="4AA27F9B"/>
    <w:rsid w:val="4B32363B"/>
    <w:rsid w:val="4B667B2B"/>
    <w:rsid w:val="4B735DE7"/>
    <w:rsid w:val="4BC3729A"/>
    <w:rsid w:val="4BCB4884"/>
    <w:rsid w:val="4BF23E4F"/>
    <w:rsid w:val="4C4607DA"/>
    <w:rsid w:val="4CFF6B43"/>
    <w:rsid w:val="4D6466CB"/>
    <w:rsid w:val="4E092FFA"/>
    <w:rsid w:val="4EF1621C"/>
    <w:rsid w:val="4F523FD7"/>
    <w:rsid w:val="4F7D08F7"/>
    <w:rsid w:val="50016AC2"/>
    <w:rsid w:val="50123898"/>
    <w:rsid w:val="50427E43"/>
    <w:rsid w:val="51AB68BB"/>
    <w:rsid w:val="51BE3532"/>
    <w:rsid w:val="52A73009"/>
    <w:rsid w:val="52D46729"/>
    <w:rsid w:val="530024DC"/>
    <w:rsid w:val="53194738"/>
    <w:rsid w:val="53836818"/>
    <w:rsid w:val="53DA11A0"/>
    <w:rsid w:val="53E32E8A"/>
    <w:rsid w:val="54915BA9"/>
    <w:rsid w:val="54C2402E"/>
    <w:rsid w:val="564B6B63"/>
    <w:rsid w:val="56514C21"/>
    <w:rsid w:val="567345E6"/>
    <w:rsid w:val="568E367B"/>
    <w:rsid w:val="56A70A5C"/>
    <w:rsid w:val="570B3917"/>
    <w:rsid w:val="5749021F"/>
    <w:rsid w:val="5779299C"/>
    <w:rsid w:val="57D85739"/>
    <w:rsid w:val="580F3D30"/>
    <w:rsid w:val="58221A49"/>
    <w:rsid w:val="58B42698"/>
    <w:rsid w:val="592D575A"/>
    <w:rsid w:val="596407D3"/>
    <w:rsid w:val="5A573610"/>
    <w:rsid w:val="5A8E4D76"/>
    <w:rsid w:val="5B6F6F42"/>
    <w:rsid w:val="5B825CAE"/>
    <w:rsid w:val="5BEF6CB4"/>
    <w:rsid w:val="5C476F4F"/>
    <w:rsid w:val="5C9748E3"/>
    <w:rsid w:val="5CBC6CD8"/>
    <w:rsid w:val="5CD740E4"/>
    <w:rsid w:val="5DB7078B"/>
    <w:rsid w:val="5E0B66F4"/>
    <w:rsid w:val="5E7D3DE6"/>
    <w:rsid w:val="5EE83FD6"/>
    <w:rsid w:val="5F093E9D"/>
    <w:rsid w:val="6045177F"/>
    <w:rsid w:val="60F308EF"/>
    <w:rsid w:val="6176717E"/>
    <w:rsid w:val="61A76DC0"/>
    <w:rsid w:val="62186AF3"/>
    <w:rsid w:val="62492AD7"/>
    <w:rsid w:val="62A10B56"/>
    <w:rsid w:val="62BB5C43"/>
    <w:rsid w:val="63653051"/>
    <w:rsid w:val="63737A74"/>
    <w:rsid w:val="637A6826"/>
    <w:rsid w:val="658028C9"/>
    <w:rsid w:val="66116ABA"/>
    <w:rsid w:val="665373D5"/>
    <w:rsid w:val="66924654"/>
    <w:rsid w:val="66C1218C"/>
    <w:rsid w:val="66DF3DF0"/>
    <w:rsid w:val="67FB3499"/>
    <w:rsid w:val="68467EA7"/>
    <w:rsid w:val="6A613793"/>
    <w:rsid w:val="6AAB298E"/>
    <w:rsid w:val="6B8D4C87"/>
    <w:rsid w:val="6D762C20"/>
    <w:rsid w:val="6E1950F6"/>
    <w:rsid w:val="6E310AD8"/>
    <w:rsid w:val="6E940B7A"/>
    <w:rsid w:val="703A272E"/>
    <w:rsid w:val="717C721C"/>
    <w:rsid w:val="72294B2F"/>
    <w:rsid w:val="74D06A77"/>
    <w:rsid w:val="75065DB7"/>
    <w:rsid w:val="770F35FE"/>
    <w:rsid w:val="772417AF"/>
    <w:rsid w:val="777B5002"/>
    <w:rsid w:val="78477BB6"/>
    <w:rsid w:val="785A5B03"/>
    <w:rsid w:val="791A5BDE"/>
    <w:rsid w:val="79C4024E"/>
    <w:rsid w:val="79FC265D"/>
    <w:rsid w:val="7ABE4CD1"/>
    <w:rsid w:val="7AFE606B"/>
    <w:rsid w:val="7B5254FB"/>
    <w:rsid w:val="7B5935FD"/>
    <w:rsid w:val="7BB27F43"/>
    <w:rsid w:val="7BB72EDA"/>
    <w:rsid w:val="7BDB6CDC"/>
    <w:rsid w:val="7C340505"/>
    <w:rsid w:val="7C471EE4"/>
    <w:rsid w:val="7D4635B2"/>
    <w:rsid w:val="7D64173C"/>
    <w:rsid w:val="7DFC1F91"/>
    <w:rsid w:val="7E0916DD"/>
    <w:rsid w:val="7E405882"/>
    <w:rsid w:val="7EA254FE"/>
    <w:rsid w:val="7EA87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F961566"/>
  <w15:docId w15:val="{1D85042D-20B9-454C-A3DD-A0FCE98B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semiHidden="1"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semiHidden="1"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locked="1" w:uiPriority="59"/>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rFonts w:ascii="Calibri" w:hAnsi="Calibri"/>
      <w:kern w:val="2"/>
      <w:sz w:val="21"/>
      <w:szCs w:val="22"/>
    </w:rPr>
  </w:style>
  <w:style w:type="paragraph" w:styleId="1">
    <w:name w:val="heading 1"/>
    <w:basedOn w:val="a2"/>
    <w:next w:val="a2"/>
    <w:link w:val="10"/>
    <w:uiPriority w:val="99"/>
    <w:qFormat/>
    <w:pPr>
      <w:keepNext/>
      <w:keepLines/>
      <w:spacing w:before="340" w:after="330" w:line="578" w:lineRule="auto"/>
      <w:outlineLvl w:val="0"/>
    </w:pPr>
    <w:rPr>
      <w:b/>
      <w:bCs/>
      <w:kern w:val="44"/>
      <w:sz w:val="44"/>
      <w:szCs w:val="44"/>
    </w:rPr>
  </w:style>
  <w:style w:type="paragraph" w:styleId="2">
    <w:name w:val="heading 2"/>
    <w:basedOn w:val="a2"/>
    <w:next w:val="a2"/>
    <w:link w:val="20"/>
    <w:uiPriority w:val="99"/>
    <w:qFormat/>
    <w:pPr>
      <w:keepNext/>
      <w:keepLines/>
      <w:spacing w:before="260" w:after="260" w:line="416" w:lineRule="auto"/>
      <w:outlineLvl w:val="1"/>
    </w:pPr>
    <w:rPr>
      <w:rFonts w:ascii="Cambria" w:hAnsi="Cambria"/>
      <w:b/>
      <w:bCs/>
      <w:kern w:val="0"/>
      <w:sz w:val="32"/>
      <w:szCs w:val="32"/>
    </w:rPr>
  </w:style>
  <w:style w:type="paragraph" w:styleId="3">
    <w:name w:val="heading 3"/>
    <w:basedOn w:val="a2"/>
    <w:next w:val="a2"/>
    <w:link w:val="30"/>
    <w:uiPriority w:val="99"/>
    <w:qFormat/>
    <w:pPr>
      <w:keepNext/>
      <w:keepLines/>
      <w:spacing w:before="260" w:after="260" w:line="416" w:lineRule="auto"/>
      <w:outlineLvl w:val="2"/>
    </w:pPr>
    <w:rPr>
      <w:b/>
      <w:bCs/>
      <w:kern w:val="0"/>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a7"/>
    <w:uiPriority w:val="99"/>
    <w:semiHidden/>
    <w:qFormat/>
    <w:pPr>
      <w:jc w:val="left"/>
    </w:pPr>
    <w:rPr>
      <w:kern w:val="0"/>
      <w:sz w:val="20"/>
      <w:szCs w:val="21"/>
    </w:rPr>
  </w:style>
  <w:style w:type="paragraph" w:styleId="a8">
    <w:name w:val="Date"/>
    <w:basedOn w:val="a2"/>
    <w:next w:val="a2"/>
    <w:link w:val="a9"/>
    <w:uiPriority w:val="99"/>
    <w:semiHidden/>
    <w:qFormat/>
    <w:pPr>
      <w:ind w:leftChars="2500" w:left="100"/>
    </w:pPr>
  </w:style>
  <w:style w:type="paragraph" w:styleId="aa">
    <w:name w:val="Balloon Text"/>
    <w:basedOn w:val="a2"/>
    <w:link w:val="ab"/>
    <w:uiPriority w:val="99"/>
    <w:semiHidden/>
    <w:qFormat/>
    <w:rPr>
      <w:kern w:val="0"/>
      <w:sz w:val="18"/>
      <w:szCs w:val="18"/>
    </w:rPr>
  </w:style>
  <w:style w:type="paragraph" w:styleId="ac">
    <w:name w:val="footer"/>
    <w:basedOn w:val="a2"/>
    <w:link w:val="ad"/>
    <w:uiPriority w:val="99"/>
    <w:qFormat/>
    <w:pPr>
      <w:tabs>
        <w:tab w:val="center" w:pos="4153"/>
        <w:tab w:val="right" w:pos="8306"/>
      </w:tabs>
      <w:snapToGrid w:val="0"/>
      <w:jc w:val="left"/>
    </w:pPr>
    <w:rPr>
      <w:kern w:val="0"/>
      <w:sz w:val="18"/>
      <w:szCs w:val="18"/>
    </w:rPr>
  </w:style>
  <w:style w:type="paragraph" w:styleId="ae">
    <w:name w:val="header"/>
    <w:basedOn w:val="a2"/>
    <w:link w:val="af"/>
    <w:uiPriority w:val="99"/>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2"/>
    <w:next w:val="a2"/>
    <w:uiPriority w:val="99"/>
    <w:qFormat/>
    <w:pPr>
      <w:tabs>
        <w:tab w:val="right" w:leader="dot" w:pos="9241"/>
      </w:tabs>
      <w:spacing w:beforeLines="25" w:afterLines="25"/>
      <w:jc w:val="left"/>
    </w:pPr>
    <w:rPr>
      <w:rFonts w:ascii="宋体"/>
      <w:szCs w:val="21"/>
    </w:rPr>
  </w:style>
  <w:style w:type="paragraph" w:styleId="TOC2">
    <w:name w:val="toc 2"/>
    <w:basedOn w:val="a2"/>
    <w:next w:val="a2"/>
    <w:uiPriority w:val="99"/>
    <w:qFormat/>
    <w:pPr>
      <w:tabs>
        <w:tab w:val="right" w:leader="dot" w:pos="9241"/>
      </w:tabs>
    </w:pPr>
    <w:rPr>
      <w:rFonts w:ascii="宋体"/>
      <w:szCs w:val="21"/>
    </w:rPr>
  </w:style>
  <w:style w:type="paragraph" w:styleId="af0">
    <w:name w:val="Normal (Web)"/>
    <w:basedOn w:val="a2"/>
    <w:uiPriority w:val="99"/>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6"/>
    <w:next w:val="a6"/>
    <w:link w:val="af2"/>
    <w:uiPriority w:val="99"/>
    <w:semiHidden/>
    <w:unhideWhenUsed/>
    <w:qFormat/>
    <w:locked/>
    <w:rPr>
      <w:b/>
      <w:bCs/>
      <w:kern w:val="2"/>
      <w:sz w:val="21"/>
      <w:szCs w:val="22"/>
    </w:rPr>
  </w:style>
  <w:style w:type="character" w:styleId="af3">
    <w:name w:val="Hyperlink"/>
    <w:uiPriority w:val="99"/>
    <w:semiHidden/>
    <w:qFormat/>
    <w:rPr>
      <w:rFonts w:cs="Times New Roman"/>
      <w:color w:val="0000CC"/>
      <w:u w:val="single"/>
    </w:rPr>
  </w:style>
  <w:style w:type="character" w:styleId="af4">
    <w:name w:val="annotation reference"/>
    <w:uiPriority w:val="99"/>
    <w:semiHidden/>
    <w:qFormat/>
    <w:rPr>
      <w:rFonts w:cs="Times New Roman"/>
      <w:sz w:val="21"/>
    </w:rPr>
  </w:style>
  <w:style w:type="paragraph" w:customStyle="1" w:styleId="af5">
    <w:name w:val="段"/>
    <w:link w:val="Char"/>
    <w:uiPriority w:val="99"/>
    <w:qFormat/>
    <w:pPr>
      <w:tabs>
        <w:tab w:val="center" w:pos="4201"/>
        <w:tab w:val="right" w:leader="dot" w:pos="9298"/>
      </w:tabs>
      <w:autoSpaceDE w:val="0"/>
      <w:autoSpaceDN w:val="0"/>
      <w:ind w:firstLineChars="200" w:firstLine="420"/>
      <w:jc w:val="both"/>
    </w:pPr>
    <w:rPr>
      <w:rFonts w:ascii="宋体"/>
      <w:sz w:val="21"/>
      <w:szCs w:val="22"/>
    </w:rPr>
  </w:style>
  <w:style w:type="paragraph" w:customStyle="1" w:styleId="11">
    <w:name w:val="列出段落1"/>
    <w:basedOn w:val="a2"/>
    <w:uiPriority w:val="99"/>
    <w:qFormat/>
    <w:pPr>
      <w:ind w:firstLineChars="200" w:firstLine="420"/>
    </w:pPr>
  </w:style>
  <w:style w:type="paragraph" w:customStyle="1" w:styleId="af6">
    <w:name w:val="目次、标准名称标题"/>
    <w:basedOn w:val="a2"/>
    <w:next w:val="af5"/>
    <w:uiPriority w:val="9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7">
    <w:name w:val="标准书脚_奇数页"/>
    <w:uiPriority w:val="99"/>
    <w:qFormat/>
    <w:pPr>
      <w:spacing w:before="120"/>
      <w:ind w:right="198"/>
      <w:jc w:val="right"/>
    </w:pPr>
    <w:rPr>
      <w:rFonts w:ascii="宋体"/>
      <w:sz w:val="18"/>
      <w:szCs w:val="18"/>
    </w:rPr>
  </w:style>
  <w:style w:type="paragraph" w:customStyle="1" w:styleId="af8">
    <w:name w:val="标准文件_段"/>
    <w:qFormat/>
    <w:pPr>
      <w:autoSpaceDE w:val="0"/>
      <w:autoSpaceDN w:val="0"/>
      <w:ind w:firstLineChars="200" w:firstLine="200"/>
      <w:jc w:val="both"/>
    </w:pPr>
    <w:rPr>
      <w:rFonts w:ascii="宋体"/>
      <w:sz w:val="21"/>
    </w:rPr>
  </w:style>
  <w:style w:type="paragraph" w:customStyle="1" w:styleId="af9">
    <w:name w:val="标准文件_页脚奇数页"/>
    <w:qFormat/>
    <w:pPr>
      <w:ind w:right="227"/>
      <w:jc w:val="right"/>
    </w:pPr>
    <w:rPr>
      <w:rFonts w:ascii="宋体"/>
      <w:sz w:val="18"/>
    </w:rPr>
  </w:style>
  <w:style w:type="paragraph" w:customStyle="1" w:styleId="afa">
    <w:name w:val="标准文件_页眉奇数页"/>
    <w:next w:val="a2"/>
    <w:qFormat/>
    <w:pPr>
      <w:tabs>
        <w:tab w:val="center" w:pos="4154"/>
        <w:tab w:val="right" w:pos="8306"/>
      </w:tabs>
      <w:spacing w:after="120"/>
      <w:jc w:val="right"/>
    </w:pPr>
    <w:rPr>
      <w:rFonts w:ascii="黑体" w:eastAsia="黑体" w:hAnsi="宋体"/>
      <w:sz w:val="21"/>
    </w:rPr>
  </w:style>
  <w:style w:type="paragraph" w:customStyle="1" w:styleId="a">
    <w:name w:val="标准文件_字母编号列项（一级）"/>
    <w:qFormat/>
    <w:pPr>
      <w:numPr>
        <w:numId w:val="1"/>
      </w:numPr>
      <w:jc w:val="both"/>
    </w:pPr>
    <w:rPr>
      <w:rFonts w:ascii="宋体"/>
      <w:sz w:val="21"/>
    </w:rPr>
  </w:style>
  <w:style w:type="paragraph" w:customStyle="1" w:styleId="a0">
    <w:name w:val="标准文件_数字编号列项（二级）"/>
    <w:qFormat/>
    <w:pPr>
      <w:numPr>
        <w:ilvl w:val="1"/>
        <w:numId w:val="1"/>
      </w:numPr>
      <w:tabs>
        <w:tab w:val="left" w:pos="851"/>
      </w:tabs>
      <w:jc w:val="both"/>
    </w:pPr>
    <w:rPr>
      <w:rFonts w:ascii="宋体"/>
      <w:sz w:val="21"/>
    </w:rPr>
  </w:style>
  <w:style w:type="paragraph" w:customStyle="1" w:styleId="a1">
    <w:name w:val="标准文件_二级条标题"/>
    <w:next w:val="af8"/>
    <w:qFormat/>
    <w:pPr>
      <w:widowControl w:val="0"/>
      <w:numPr>
        <w:ilvl w:val="3"/>
        <w:numId w:val="2"/>
      </w:numPr>
      <w:spacing w:beforeLines="50" w:afterLines="50"/>
      <w:jc w:val="both"/>
      <w:outlineLvl w:val="2"/>
    </w:pPr>
    <w:rPr>
      <w:rFonts w:ascii="黑体" w:eastAsia="黑体"/>
      <w:sz w:val="21"/>
    </w:rPr>
  </w:style>
  <w:style w:type="paragraph" w:customStyle="1" w:styleId="afb">
    <w:name w:val="标准文件_三级条标题"/>
    <w:next w:val="af8"/>
    <w:qFormat/>
    <w:pPr>
      <w:outlineLvl w:val="3"/>
    </w:pPr>
  </w:style>
  <w:style w:type="character" w:customStyle="1" w:styleId="10">
    <w:name w:val="标题 1 字符"/>
    <w:link w:val="1"/>
    <w:uiPriority w:val="99"/>
    <w:qFormat/>
    <w:locked/>
    <w:rPr>
      <w:rFonts w:cs="Times New Roman"/>
      <w:b/>
      <w:kern w:val="44"/>
      <w:sz w:val="44"/>
    </w:rPr>
  </w:style>
  <w:style w:type="character" w:customStyle="1" w:styleId="20">
    <w:name w:val="标题 2 字符"/>
    <w:link w:val="2"/>
    <w:uiPriority w:val="99"/>
    <w:qFormat/>
    <w:locked/>
    <w:rPr>
      <w:rFonts w:ascii="Cambria" w:eastAsia="宋体" w:hAnsi="Cambria" w:cs="Times New Roman"/>
      <w:b/>
      <w:sz w:val="32"/>
    </w:rPr>
  </w:style>
  <w:style w:type="character" w:customStyle="1" w:styleId="30">
    <w:name w:val="标题 3 字符"/>
    <w:link w:val="3"/>
    <w:uiPriority w:val="99"/>
    <w:qFormat/>
    <w:locked/>
    <w:rPr>
      <w:rFonts w:cs="Times New Roman"/>
      <w:b/>
      <w:sz w:val="32"/>
    </w:rPr>
  </w:style>
  <w:style w:type="character" w:customStyle="1" w:styleId="a7">
    <w:name w:val="批注文字 字符"/>
    <w:link w:val="a6"/>
    <w:uiPriority w:val="99"/>
    <w:semiHidden/>
    <w:qFormat/>
    <w:locked/>
    <w:rPr>
      <w:rFonts w:ascii="Calibri" w:eastAsia="宋体" w:hAnsi="Calibri" w:cs="Times New Roman"/>
      <w:sz w:val="21"/>
    </w:rPr>
  </w:style>
  <w:style w:type="character" w:customStyle="1" w:styleId="a9">
    <w:name w:val="日期 字符"/>
    <w:link w:val="a8"/>
    <w:uiPriority w:val="99"/>
    <w:semiHidden/>
    <w:qFormat/>
    <w:locked/>
    <w:rPr>
      <w:rFonts w:cs="Times New Roman"/>
      <w:kern w:val="2"/>
      <w:sz w:val="22"/>
      <w:szCs w:val="22"/>
    </w:rPr>
  </w:style>
  <w:style w:type="character" w:customStyle="1" w:styleId="ab">
    <w:name w:val="批注框文本 字符"/>
    <w:link w:val="aa"/>
    <w:uiPriority w:val="99"/>
    <w:semiHidden/>
    <w:qFormat/>
    <w:locked/>
    <w:rPr>
      <w:rFonts w:cs="Times New Roman"/>
      <w:sz w:val="18"/>
    </w:rPr>
  </w:style>
  <w:style w:type="character" w:customStyle="1" w:styleId="ad">
    <w:name w:val="页脚 字符"/>
    <w:link w:val="ac"/>
    <w:uiPriority w:val="99"/>
    <w:qFormat/>
    <w:locked/>
    <w:rPr>
      <w:rFonts w:cs="Times New Roman"/>
      <w:sz w:val="18"/>
    </w:rPr>
  </w:style>
  <w:style w:type="character" w:customStyle="1" w:styleId="af">
    <w:name w:val="页眉 字符"/>
    <w:link w:val="ae"/>
    <w:uiPriority w:val="99"/>
    <w:qFormat/>
    <w:locked/>
    <w:rPr>
      <w:rFonts w:cs="Times New Roman"/>
      <w:sz w:val="18"/>
    </w:rPr>
  </w:style>
  <w:style w:type="character" w:customStyle="1" w:styleId="Char">
    <w:name w:val="段 Char"/>
    <w:link w:val="af5"/>
    <w:uiPriority w:val="99"/>
    <w:qFormat/>
    <w:locked/>
    <w:rPr>
      <w:rFonts w:ascii="宋体" w:hAnsi="Times New Roman"/>
      <w:sz w:val="22"/>
    </w:rPr>
  </w:style>
  <w:style w:type="character" w:customStyle="1" w:styleId="12">
    <w:name w:val="占位符文本1"/>
    <w:uiPriority w:val="99"/>
    <w:semiHidden/>
    <w:qFormat/>
    <w:rPr>
      <w:rFonts w:cs="Times New Roman"/>
      <w:color w:val="808080"/>
    </w:rPr>
  </w:style>
  <w:style w:type="character" w:customStyle="1" w:styleId="fontstyle01">
    <w:name w:val="fontstyle01"/>
    <w:qFormat/>
    <w:rPr>
      <w:rFonts w:ascii="宋体" w:eastAsia="宋体" w:hAnsi="宋体" w:cs="宋体"/>
      <w:color w:val="000000"/>
      <w:sz w:val="22"/>
      <w:szCs w:val="22"/>
    </w:rPr>
  </w:style>
  <w:style w:type="paragraph" w:styleId="afc">
    <w:name w:val="List Paragraph"/>
    <w:basedOn w:val="a2"/>
    <w:uiPriority w:val="99"/>
    <w:qFormat/>
    <w:pPr>
      <w:ind w:firstLineChars="200" w:firstLine="420"/>
    </w:pPr>
  </w:style>
  <w:style w:type="character" w:customStyle="1" w:styleId="af2">
    <w:name w:val="批注主题 字符"/>
    <w:basedOn w:val="a7"/>
    <w:link w:val="af1"/>
    <w:uiPriority w:val="99"/>
    <w:semiHidden/>
    <w:rPr>
      <w:rFonts w:ascii="Calibri" w:eastAsia="宋体" w:hAnsi="Calibri" w:cs="Times New Roman"/>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424</Words>
  <Characters>2421</Characters>
  <Application>Microsoft Office Word</Application>
  <DocSecurity>0</DocSecurity>
  <Lines>20</Lines>
  <Paragraphs>5</Paragraphs>
  <ScaleCrop>false</ScaleCrop>
  <Company>Microsoft</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中国仪器仪表行业协会团体标准</dc:title>
  <dc:creator>liu</dc:creator>
  <cp:lastModifiedBy>静</cp:lastModifiedBy>
  <cp:revision>9</cp:revision>
  <cp:lastPrinted>2020-06-01T08:06:00Z</cp:lastPrinted>
  <dcterms:created xsi:type="dcterms:W3CDTF">2023-01-15T08:29:00Z</dcterms:created>
  <dcterms:modified xsi:type="dcterms:W3CDTF">2023-02-10T02:19:00Z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3A8CBED29421494EAEB600FBE58DF345</vt:lpwstr>
  </property>
</Properties>
</file>